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9C58" w14:textId="77777777" w:rsidR="00D13496" w:rsidRPr="00A9231D" w:rsidRDefault="00D13496" w:rsidP="00D13496">
      <w:pPr>
        <w:pStyle w:val="Glava"/>
        <w:tabs>
          <w:tab w:val="clear" w:pos="8640"/>
          <w:tab w:val="left" w:pos="5112"/>
          <w:tab w:val="left" w:pos="8641"/>
        </w:tabs>
        <w:spacing w:before="340" w:line="240" w:lineRule="exact"/>
        <w:ind w:left="-765"/>
        <w:rPr>
          <w:rFonts w:cs="Arial"/>
          <w:sz w:val="16"/>
        </w:rPr>
      </w:pPr>
      <w:bookmarkStart w:id="0" w:name="_Hlk61014710"/>
      <w:bookmarkEnd w:id="0"/>
      <w:r w:rsidRPr="00CE234E">
        <w:rPr>
          <w:noProof/>
          <w:lang w:val="sl-SI" w:eastAsia="sl-SI"/>
        </w:rPr>
        <w:drawing>
          <wp:inline distT="0" distB="0" distL="0" distR="0" wp14:anchorId="23BD394F" wp14:editId="2D4C44A5">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0DA39E95" w14:textId="1B88E528" w:rsidR="00D13496" w:rsidRPr="00A9231D" w:rsidRDefault="00D13496" w:rsidP="00D13496">
      <w:pPr>
        <w:pStyle w:val="Glava"/>
        <w:tabs>
          <w:tab w:val="clear" w:pos="8640"/>
          <w:tab w:val="left" w:pos="5114"/>
          <w:tab w:val="left" w:pos="8641"/>
        </w:tabs>
        <w:spacing w:before="120" w:line="240" w:lineRule="exact"/>
        <w:rPr>
          <w:rFonts w:cs="Arial"/>
          <w:sz w:val="16"/>
        </w:rPr>
      </w:pPr>
      <w:proofErr w:type="spellStart"/>
      <w:r w:rsidRPr="00A9231D">
        <w:rPr>
          <w:rFonts w:cs="Arial"/>
          <w:sz w:val="16"/>
        </w:rPr>
        <w:t>Gregorčičeva</w:t>
      </w:r>
      <w:proofErr w:type="spellEnd"/>
      <w:r w:rsidRPr="00A9231D">
        <w:rPr>
          <w:rFonts w:cs="Arial"/>
          <w:sz w:val="16"/>
        </w:rPr>
        <w:t xml:space="preserve"> </w:t>
      </w:r>
      <w:proofErr w:type="spellStart"/>
      <w:r>
        <w:rPr>
          <w:rFonts w:cs="Arial"/>
          <w:sz w:val="16"/>
        </w:rPr>
        <w:t>ulica</w:t>
      </w:r>
      <w:proofErr w:type="spellEnd"/>
      <w:r>
        <w:rPr>
          <w:rFonts w:cs="Arial"/>
          <w:sz w:val="16"/>
        </w:rPr>
        <w:t xml:space="preserve">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r>
      <w:r>
        <w:rPr>
          <w:rFonts w:cs="Arial"/>
          <w:sz w:val="16"/>
        </w:rPr>
        <w:tab/>
      </w:r>
      <w:r w:rsidRPr="00A9231D">
        <w:rPr>
          <w:rFonts w:cs="Arial"/>
          <w:sz w:val="16"/>
        </w:rPr>
        <w:t>T: +386 1 478 1000</w:t>
      </w:r>
    </w:p>
    <w:p w14:paraId="59077FF6" w14:textId="6DCC0180" w:rsidR="00D13496" w:rsidRPr="00A9231D" w:rsidRDefault="00D13496" w:rsidP="00D13496">
      <w:pPr>
        <w:pStyle w:val="Glava"/>
        <w:tabs>
          <w:tab w:val="clear" w:pos="8640"/>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F: +386 1 478 1607</w:t>
      </w:r>
    </w:p>
    <w:p w14:paraId="0FC4E54D" w14:textId="466280C3" w:rsidR="00D13496" w:rsidRPr="00A9231D" w:rsidRDefault="00D13496" w:rsidP="00D13496">
      <w:pPr>
        <w:pStyle w:val="Glava"/>
        <w:tabs>
          <w:tab w:val="clear" w:pos="8640"/>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E: gp.gs@gov.si</w:t>
      </w:r>
    </w:p>
    <w:p w14:paraId="0F9D61CA" w14:textId="4BF29D05" w:rsidR="00D13496" w:rsidRPr="00A9231D" w:rsidRDefault="00D13496" w:rsidP="00D13496">
      <w:pPr>
        <w:pStyle w:val="Glava"/>
        <w:tabs>
          <w:tab w:val="clear" w:pos="8640"/>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http://www.vlada.si/</w:t>
      </w:r>
    </w:p>
    <w:p w14:paraId="3A0482B4" w14:textId="77777777" w:rsidR="00D13496" w:rsidRDefault="00D13496" w:rsidP="00D13496">
      <w:pPr>
        <w:pStyle w:val="datumtevilka"/>
        <w:rPr>
          <w:rFonts w:cs="Arial"/>
          <w:color w:val="000000"/>
        </w:rPr>
      </w:pPr>
    </w:p>
    <w:p w14:paraId="6661BB1F" w14:textId="77777777" w:rsidR="00D13496" w:rsidRDefault="00D13496" w:rsidP="00D13496">
      <w:pPr>
        <w:pStyle w:val="datumtevilka"/>
        <w:rPr>
          <w:rFonts w:cs="Arial"/>
          <w:color w:val="000000"/>
        </w:rPr>
      </w:pPr>
    </w:p>
    <w:p w14:paraId="4E548541" w14:textId="77777777" w:rsidR="00D13496" w:rsidRDefault="00D13496" w:rsidP="00D13496">
      <w:pPr>
        <w:pStyle w:val="datumtevilka"/>
        <w:rPr>
          <w:rFonts w:cs="Arial"/>
          <w:color w:val="000000"/>
        </w:rPr>
      </w:pPr>
    </w:p>
    <w:p w14:paraId="5A170656" w14:textId="77777777" w:rsidR="00D13496" w:rsidRPr="002760DC" w:rsidRDefault="00D13496" w:rsidP="00D13496">
      <w:pPr>
        <w:pStyle w:val="datumtevilka"/>
      </w:pPr>
      <w:r w:rsidRPr="002760DC">
        <w:rPr>
          <w:rFonts w:cs="Arial"/>
          <w:color w:val="000000"/>
        </w:rPr>
        <w:t>EVA:</w:t>
      </w:r>
      <w:r w:rsidRPr="002760DC">
        <w:rPr>
          <w:rFonts w:cs="Arial"/>
          <w:color w:val="000000"/>
        </w:rPr>
        <w:tab/>
      </w:r>
      <w:r>
        <w:rPr>
          <w:rFonts w:cs="Arial"/>
          <w:color w:val="000000"/>
        </w:rPr>
        <w:t>2023-1611-0037</w:t>
      </w:r>
    </w:p>
    <w:p w14:paraId="405AEE01" w14:textId="77777777" w:rsidR="00D13496" w:rsidRPr="002760DC" w:rsidRDefault="00D13496" w:rsidP="00D13496">
      <w:pPr>
        <w:pStyle w:val="datumtevilka"/>
      </w:pPr>
      <w:r w:rsidRPr="002760DC">
        <w:t xml:space="preserve">Številka: </w:t>
      </w:r>
      <w:r w:rsidRPr="002760DC">
        <w:tab/>
      </w:r>
      <w:r>
        <w:rPr>
          <w:rFonts w:cs="Arial"/>
          <w:color w:val="000000"/>
        </w:rPr>
        <w:t>00704-167/2023/11</w:t>
      </w:r>
    </w:p>
    <w:p w14:paraId="7B697141" w14:textId="77777777" w:rsidR="00D13496" w:rsidRPr="002760DC" w:rsidRDefault="00D13496" w:rsidP="00D13496">
      <w:pPr>
        <w:pStyle w:val="datumtevilka"/>
      </w:pPr>
      <w:r>
        <w:t>Datum:</w:t>
      </w:r>
      <w:r w:rsidRPr="002760DC">
        <w:tab/>
      </w:r>
      <w:r>
        <w:rPr>
          <w:rFonts w:cs="Arial"/>
          <w:color w:val="000000"/>
        </w:rPr>
        <w:t>19. 4. 2023</w:t>
      </w:r>
      <w:r w:rsidRPr="002760DC">
        <w:t xml:space="preserve"> </w:t>
      </w:r>
    </w:p>
    <w:p w14:paraId="39771250" w14:textId="77777777" w:rsidR="00E86DDA" w:rsidRDefault="00E86DDA" w:rsidP="00E86DDA">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240" w:after="60" w:line="240" w:lineRule="auto"/>
        <w:jc w:val="both"/>
        <w:textAlignment w:val="baseline"/>
        <w:outlineLvl w:val="0"/>
        <w:rPr>
          <w:rFonts w:ascii="Arial" w:hAnsi="Arial" w:cs="Arial"/>
        </w:rPr>
      </w:pPr>
    </w:p>
    <w:p w14:paraId="60FC675F" w14:textId="4EEA1E84" w:rsidR="00D13496" w:rsidRDefault="00D13496" w:rsidP="00D13496">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240" w:after="60" w:line="240" w:lineRule="auto"/>
        <w:jc w:val="center"/>
        <w:textAlignment w:val="baseline"/>
        <w:outlineLvl w:val="0"/>
        <w:rPr>
          <w:rFonts w:ascii="Arial" w:hAnsi="Arial" w:cs="Arial"/>
        </w:rPr>
      </w:pPr>
      <w:r w:rsidRPr="00D13496">
        <w:rPr>
          <w:rFonts w:ascii="Arial" w:hAnsi="Arial" w:cs="Arial"/>
          <w:b/>
          <w:sz w:val="20"/>
          <w:szCs w:val="20"/>
        </w:rPr>
        <w:t>Stališče do ocene Fiskalnega sveta glede proračunskih dokumentov za obdobje 2023 do 2026</w:t>
      </w:r>
      <w:r w:rsidR="00FB6991">
        <w:rPr>
          <w:rFonts w:ascii="Arial" w:hAnsi="Arial" w:cs="Arial"/>
        </w:rPr>
        <w:t xml:space="preserve"> </w:t>
      </w:r>
    </w:p>
    <w:p w14:paraId="4E1691D6" w14:textId="77777777" w:rsidR="00D13496" w:rsidRPr="00355F71" w:rsidRDefault="00D13496" w:rsidP="00E86DDA">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240" w:after="60" w:line="240" w:lineRule="auto"/>
        <w:jc w:val="both"/>
        <w:textAlignment w:val="baseline"/>
        <w:outlineLvl w:val="0"/>
        <w:rPr>
          <w:rFonts w:ascii="Arial" w:hAnsi="Arial" w:cs="Arial"/>
        </w:rPr>
      </w:pPr>
    </w:p>
    <w:p w14:paraId="22018398" w14:textId="1151486F" w:rsidR="003A4C4B" w:rsidRPr="00D13496" w:rsidRDefault="003A4C4B" w:rsidP="008C6EF9">
      <w:pPr>
        <w:spacing w:after="240" w:line="288" w:lineRule="auto"/>
        <w:jc w:val="both"/>
        <w:rPr>
          <w:rFonts w:ascii="Arial" w:hAnsi="Arial" w:cs="Arial"/>
          <w:sz w:val="20"/>
          <w:szCs w:val="20"/>
        </w:rPr>
      </w:pPr>
      <w:r w:rsidRPr="00D13496">
        <w:rPr>
          <w:rFonts w:ascii="Arial" w:hAnsi="Arial" w:cs="Arial"/>
          <w:sz w:val="20"/>
          <w:szCs w:val="20"/>
        </w:rPr>
        <w:t xml:space="preserve">Vlada Republike Slovenije </w:t>
      </w:r>
      <w:r w:rsidR="00FC1B48" w:rsidRPr="00D13496">
        <w:rPr>
          <w:rFonts w:ascii="Arial" w:hAnsi="Arial" w:cs="Arial"/>
          <w:sz w:val="20"/>
          <w:szCs w:val="20"/>
        </w:rPr>
        <w:t xml:space="preserve">(v </w:t>
      </w:r>
      <w:r w:rsidR="009C2DB3" w:rsidRPr="00D13496">
        <w:rPr>
          <w:rFonts w:ascii="Arial" w:hAnsi="Arial" w:cs="Arial"/>
          <w:sz w:val="20"/>
          <w:szCs w:val="20"/>
        </w:rPr>
        <w:t>nadaljnjem</w:t>
      </w:r>
      <w:r w:rsidR="00FC1B48" w:rsidRPr="00D13496">
        <w:rPr>
          <w:rFonts w:ascii="Arial" w:hAnsi="Arial" w:cs="Arial"/>
          <w:sz w:val="20"/>
          <w:szCs w:val="20"/>
        </w:rPr>
        <w:t xml:space="preserve"> besedilu: vlada) </w:t>
      </w:r>
      <w:r w:rsidRPr="00D13496">
        <w:rPr>
          <w:rFonts w:ascii="Arial" w:hAnsi="Arial" w:cs="Arial"/>
          <w:sz w:val="20"/>
          <w:szCs w:val="20"/>
        </w:rPr>
        <w:t xml:space="preserve">je </w:t>
      </w:r>
      <w:r w:rsidR="002243F7" w:rsidRPr="00D13496">
        <w:rPr>
          <w:rFonts w:ascii="Arial" w:hAnsi="Arial" w:cs="Arial"/>
          <w:sz w:val="20"/>
          <w:szCs w:val="20"/>
        </w:rPr>
        <w:t>7</w:t>
      </w:r>
      <w:r w:rsidRPr="00D13496">
        <w:rPr>
          <w:rFonts w:ascii="Arial" w:hAnsi="Arial" w:cs="Arial"/>
          <w:sz w:val="20"/>
          <w:szCs w:val="20"/>
        </w:rPr>
        <w:t xml:space="preserve">. </w:t>
      </w:r>
      <w:r w:rsidR="002243F7" w:rsidRPr="00D13496">
        <w:rPr>
          <w:rFonts w:ascii="Arial" w:hAnsi="Arial" w:cs="Arial"/>
          <w:sz w:val="20"/>
          <w:szCs w:val="20"/>
        </w:rPr>
        <w:t>4</w:t>
      </w:r>
      <w:r w:rsidRPr="00D13496">
        <w:rPr>
          <w:rFonts w:ascii="Arial" w:hAnsi="Arial" w:cs="Arial"/>
          <w:sz w:val="20"/>
          <w:szCs w:val="20"/>
        </w:rPr>
        <w:t>. 202</w:t>
      </w:r>
      <w:r w:rsidR="002243F7" w:rsidRPr="00D13496">
        <w:rPr>
          <w:rFonts w:ascii="Arial" w:hAnsi="Arial" w:cs="Arial"/>
          <w:sz w:val="20"/>
          <w:szCs w:val="20"/>
        </w:rPr>
        <w:t>3</w:t>
      </w:r>
      <w:r w:rsidRPr="00D13496">
        <w:rPr>
          <w:rFonts w:ascii="Arial" w:hAnsi="Arial" w:cs="Arial"/>
          <w:sz w:val="20"/>
          <w:szCs w:val="20"/>
        </w:rPr>
        <w:t xml:space="preserve"> Fiskalnemu svetu Republike Slovenije (v nadaljnjem besedilu: Fiskalni svet) posredovala predlog Odloka o okviru za pripravo proračunov sektorja država za obdobje 202</w:t>
      </w:r>
      <w:r w:rsidR="00821D5C" w:rsidRPr="00D13496">
        <w:rPr>
          <w:rFonts w:ascii="Arial" w:hAnsi="Arial" w:cs="Arial"/>
          <w:sz w:val="20"/>
          <w:szCs w:val="20"/>
        </w:rPr>
        <w:t>4</w:t>
      </w:r>
      <w:r w:rsidR="002243F7" w:rsidRPr="00D13496">
        <w:rPr>
          <w:rFonts w:ascii="Arial" w:hAnsi="Arial" w:cs="Arial"/>
          <w:sz w:val="20"/>
          <w:szCs w:val="20"/>
        </w:rPr>
        <w:t>-2026</w:t>
      </w:r>
      <w:r w:rsidRPr="00D13496">
        <w:rPr>
          <w:rFonts w:ascii="Arial" w:hAnsi="Arial" w:cs="Arial"/>
          <w:sz w:val="20"/>
          <w:szCs w:val="20"/>
        </w:rPr>
        <w:t xml:space="preserve"> </w:t>
      </w:r>
      <w:r w:rsidR="002243F7" w:rsidRPr="00D13496">
        <w:rPr>
          <w:rFonts w:ascii="Arial" w:hAnsi="Arial" w:cs="Arial"/>
          <w:sz w:val="20"/>
          <w:szCs w:val="20"/>
        </w:rPr>
        <w:t xml:space="preserve">skupaj z osnutkom Programa </w:t>
      </w:r>
      <w:r w:rsidR="00FE0F48" w:rsidRPr="00D13496">
        <w:rPr>
          <w:rFonts w:ascii="Arial" w:hAnsi="Arial" w:cs="Arial"/>
          <w:sz w:val="20"/>
          <w:szCs w:val="20"/>
        </w:rPr>
        <w:t>stabilnosti</w:t>
      </w:r>
      <w:r w:rsidR="002243F7" w:rsidRPr="00D13496">
        <w:rPr>
          <w:rFonts w:ascii="Arial" w:hAnsi="Arial" w:cs="Arial"/>
          <w:sz w:val="20"/>
          <w:szCs w:val="20"/>
        </w:rPr>
        <w:t xml:space="preserve"> 2023, ki predstavlja vsebinsko obrazložitev okvira.</w:t>
      </w:r>
      <w:r w:rsidRPr="00D13496">
        <w:rPr>
          <w:rFonts w:ascii="Arial" w:hAnsi="Arial" w:cs="Arial"/>
          <w:sz w:val="20"/>
          <w:szCs w:val="20"/>
        </w:rPr>
        <w:t xml:space="preserve"> Na tej podlagi </w:t>
      </w:r>
      <w:r w:rsidR="00093F7D" w:rsidRPr="00D13496">
        <w:rPr>
          <w:rFonts w:ascii="Arial" w:hAnsi="Arial" w:cs="Arial"/>
          <w:sz w:val="20"/>
          <w:szCs w:val="20"/>
        </w:rPr>
        <w:t>je</w:t>
      </w:r>
      <w:r w:rsidR="00FE0F48" w:rsidRPr="00D13496">
        <w:rPr>
          <w:rFonts w:ascii="Arial" w:hAnsi="Arial" w:cs="Arial"/>
          <w:sz w:val="20"/>
          <w:szCs w:val="20"/>
        </w:rPr>
        <w:t xml:space="preserve"> </w:t>
      </w:r>
      <w:r w:rsidR="00355F71" w:rsidRPr="00D13496">
        <w:rPr>
          <w:rFonts w:ascii="Arial" w:hAnsi="Arial" w:cs="Arial"/>
          <w:sz w:val="20"/>
          <w:szCs w:val="20"/>
        </w:rPr>
        <w:t>Fiskalni svet</w:t>
      </w:r>
      <w:r w:rsidR="009557A9" w:rsidRPr="00D13496">
        <w:rPr>
          <w:rFonts w:ascii="Arial" w:hAnsi="Arial" w:cs="Arial"/>
          <w:sz w:val="20"/>
          <w:szCs w:val="20"/>
        </w:rPr>
        <w:t xml:space="preserve"> </w:t>
      </w:r>
      <w:r w:rsidR="00FE0F48" w:rsidRPr="00D13496">
        <w:rPr>
          <w:rFonts w:ascii="Arial" w:hAnsi="Arial" w:cs="Arial"/>
          <w:sz w:val="20"/>
          <w:szCs w:val="20"/>
        </w:rPr>
        <w:t>Ministrstvu za finance 14</w:t>
      </w:r>
      <w:r w:rsidR="00EC7040" w:rsidRPr="00D13496">
        <w:rPr>
          <w:rFonts w:ascii="Arial" w:hAnsi="Arial" w:cs="Arial"/>
          <w:sz w:val="20"/>
          <w:szCs w:val="20"/>
        </w:rPr>
        <w:t xml:space="preserve">. </w:t>
      </w:r>
      <w:r w:rsidR="002243F7" w:rsidRPr="00D13496">
        <w:rPr>
          <w:rFonts w:ascii="Arial" w:hAnsi="Arial" w:cs="Arial"/>
          <w:sz w:val="20"/>
          <w:szCs w:val="20"/>
        </w:rPr>
        <w:t>4</w:t>
      </w:r>
      <w:r w:rsidR="00A30536" w:rsidRPr="00D13496">
        <w:rPr>
          <w:rFonts w:ascii="Arial" w:hAnsi="Arial" w:cs="Arial"/>
          <w:sz w:val="20"/>
          <w:szCs w:val="20"/>
        </w:rPr>
        <w:t>. 202</w:t>
      </w:r>
      <w:r w:rsidR="002243F7" w:rsidRPr="00D13496">
        <w:rPr>
          <w:rFonts w:ascii="Arial" w:hAnsi="Arial" w:cs="Arial"/>
          <w:sz w:val="20"/>
          <w:szCs w:val="20"/>
        </w:rPr>
        <w:t>3</w:t>
      </w:r>
      <w:r w:rsidR="006840F3" w:rsidRPr="00D13496">
        <w:rPr>
          <w:rFonts w:ascii="Arial" w:hAnsi="Arial" w:cs="Arial"/>
          <w:sz w:val="20"/>
          <w:szCs w:val="20"/>
        </w:rPr>
        <w:t xml:space="preserve"> </w:t>
      </w:r>
      <w:r w:rsidR="00FE0F48" w:rsidRPr="00D13496">
        <w:rPr>
          <w:rFonts w:ascii="Arial" w:hAnsi="Arial" w:cs="Arial"/>
          <w:sz w:val="20"/>
          <w:szCs w:val="20"/>
        </w:rPr>
        <w:t>posredoval</w:t>
      </w:r>
      <w:r w:rsidR="00A30536" w:rsidRPr="00D13496">
        <w:rPr>
          <w:rFonts w:ascii="Arial" w:hAnsi="Arial" w:cs="Arial"/>
          <w:sz w:val="20"/>
          <w:szCs w:val="20"/>
        </w:rPr>
        <w:t xml:space="preserve"> </w:t>
      </w:r>
      <w:r w:rsidR="00E86DDA" w:rsidRPr="00D13496">
        <w:rPr>
          <w:rFonts w:ascii="Arial" w:hAnsi="Arial" w:cs="Arial"/>
          <w:sz w:val="20"/>
          <w:szCs w:val="20"/>
        </w:rPr>
        <w:t xml:space="preserve">Oceno </w:t>
      </w:r>
      <w:r w:rsidR="00FE0F48" w:rsidRPr="00D13496">
        <w:rPr>
          <w:rFonts w:ascii="Arial" w:hAnsi="Arial" w:cs="Arial"/>
          <w:sz w:val="20"/>
          <w:szCs w:val="20"/>
        </w:rPr>
        <w:t>proračunskih dokumentov za obdobje 202</w:t>
      </w:r>
      <w:r w:rsidR="004E06B1" w:rsidRPr="00D13496">
        <w:rPr>
          <w:rFonts w:ascii="Arial" w:hAnsi="Arial" w:cs="Arial"/>
          <w:sz w:val="20"/>
          <w:szCs w:val="20"/>
        </w:rPr>
        <w:t>3</w:t>
      </w:r>
      <w:r w:rsidR="00FE0F48" w:rsidRPr="00D13496">
        <w:rPr>
          <w:rFonts w:ascii="Arial" w:hAnsi="Arial" w:cs="Arial"/>
          <w:sz w:val="20"/>
          <w:szCs w:val="20"/>
        </w:rPr>
        <w:t xml:space="preserve"> do 2026 </w:t>
      </w:r>
      <w:r w:rsidRPr="00D13496">
        <w:rPr>
          <w:rFonts w:ascii="Arial" w:hAnsi="Arial" w:cs="Arial"/>
          <w:sz w:val="20"/>
          <w:szCs w:val="20"/>
        </w:rPr>
        <w:t>(v nadaljnjem besedilu</w:t>
      </w:r>
      <w:r w:rsidR="0096331B" w:rsidRPr="00D13496">
        <w:rPr>
          <w:rFonts w:ascii="Arial" w:hAnsi="Arial" w:cs="Arial"/>
          <w:sz w:val="20"/>
          <w:szCs w:val="20"/>
        </w:rPr>
        <w:t>:</w:t>
      </w:r>
      <w:r w:rsidRPr="00D13496">
        <w:rPr>
          <w:rFonts w:ascii="Arial" w:hAnsi="Arial" w:cs="Arial"/>
          <w:sz w:val="20"/>
          <w:szCs w:val="20"/>
        </w:rPr>
        <w:t xml:space="preserve"> Ocena)</w:t>
      </w:r>
      <w:r w:rsidR="00355F71" w:rsidRPr="00D13496">
        <w:rPr>
          <w:rFonts w:ascii="Arial" w:hAnsi="Arial" w:cs="Arial"/>
          <w:sz w:val="20"/>
          <w:szCs w:val="20"/>
        </w:rPr>
        <w:t xml:space="preserve">. </w:t>
      </w:r>
      <w:r w:rsidRPr="00D13496">
        <w:rPr>
          <w:rFonts w:ascii="Arial" w:hAnsi="Arial" w:cs="Arial"/>
          <w:sz w:val="20"/>
          <w:szCs w:val="20"/>
        </w:rPr>
        <w:t xml:space="preserve">Skladno </w:t>
      </w:r>
      <w:r w:rsidR="00DD0224" w:rsidRPr="00D13496">
        <w:rPr>
          <w:rFonts w:ascii="Arial" w:hAnsi="Arial" w:cs="Arial"/>
          <w:sz w:val="20"/>
          <w:szCs w:val="20"/>
        </w:rPr>
        <w:t>s</w:t>
      </w:r>
      <w:r w:rsidRPr="00D13496">
        <w:rPr>
          <w:rFonts w:ascii="Arial" w:hAnsi="Arial" w:cs="Arial"/>
          <w:sz w:val="20"/>
          <w:szCs w:val="20"/>
        </w:rPr>
        <w:t xml:space="preserve"> četrtim odstavkom 7. člena Zakona o fiskalnem pravilu </w:t>
      </w:r>
      <w:r w:rsidR="00BB043C" w:rsidRPr="00D13496">
        <w:rPr>
          <w:rFonts w:ascii="Arial" w:hAnsi="Arial" w:cs="Arial"/>
          <w:sz w:val="20"/>
          <w:szCs w:val="20"/>
        </w:rPr>
        <w:t>(Uradni list RS, št. 55/15</w:t>
      </w:r>
      <w:r w:rsidR="001604C1" w:rsidRPr="00D13496">
        <w:rPr>
          <w:rFonts w:ascii="Arial" w:hAnsi="Arial" w:cs="Arial"/>
          <w:sz w:val="20"/>
          <w:szCs w:val="20"/>
        </w:rPr>
        <w:t>,</w:t>
      </w:r>
      <w:r w:rsidR="00BB043C" w:rsidRPr="00D13496">
        <w:rPr>
          <w:rFonts w:ascii="Arial" w:hAnsi="Arial" w:cs="Arial"/>
          <w:sz w:val="20"/>
          <w:szCs w:val="20"/>
        </w:rPr>
        <w:t xml:space="preserve"> 177/20 – </w:t>
      </w:r>
      <w:proofErr w:type="spellStart"/>
      <w:r w:rsidR="00BB043C" w:rsidRPr="00D13496">
        <w:rPr>
          <w:rFonts w:ascii="Arial" w:hAnsi="Arial" w:cs="Arial"/>
          <w:sz w:val="20"/>
          <w:szCs w:val="20"/>
        </w:rPr>
        <w:t>popr</w:t>
      </w:r>
      <w:proofErr w:type="spellEnd"/>
      <w:r w:rsidR="00BB043C" w:rsidRPr="00D13496">
        <w:rPr>
          <w:rFonts w:ascii="Arial" w:hAnsi="Arial" w:cs="Arial"/>
          <w:sz w:val="20"/>
          <w:szCs w:val="20"/>
        </w:rPr>
        <w:t>.</w:t>
      </w:r>
      <w:r w:rsidR="001604C1" w:rsidRPr="00D13496">
        <w:rPr>
          <w:rFonts w:ascii="Arial" w:hAnsi="Arial" w:cs="Arial"/>
          <w:sz w:val="20"/>
          <w:szCs w:val="20"/>
        </w:rPr>
        <w:t xml:space="preserve"> in 129/22</w:t>
      </w:r>
      <w:r w:rsidR="00BB043C" w:rsidRPr="00D13496">
        <w:rPr>
          <w:rFonts w:ascii="Arial" w:hAnsi="Arial" w:cs="Arial"/>
          <w:sz w:val="20"/>
          <w:szCs w:val="20"/>
        </w:rPr>
        <w:t xml:space="preserve">; v nadaljnjem besedilu: </w:t>
      </w:r>
      <w:proofErr w:type="spellStart"/>
      <w:r w:rsidR="00BB043C" w:rsidRPr="00D13496">
        <w:rPr>
          <w:rFonts w:ascii="Arial" w:hAnsi="Arial" w:cs="Arial"/>
          <w:sz w:val="20"/>
          <w:szCs w:val="20"/>
        </w:rPr>
        <w:t>ZFisP</w:t>
      </w:r>
      <w:proofErr w:type="spellEnd"/>
      <w:r w:rsidR="00BB043C" w:rsidRPr="00D13496">
        <w:rPr>
          <w:rFonts w:ascii="Arial" w:hAnsi="Arial" w:cs="Arial"/>
          <w:sz w:val="20"/>
          <w:szCs w:val="20"/>
        </w:rPr>
        <w:t xml:space="preserve">) </w:t>
      </w:r>
      <w:r w:rsidR="00093F7D" w:rsidRPr="00D13496">
        <w:rPr>
          <w:rFonts w:ascii="Arial" w:hAnsi="Arial" w:cs="Arial"/>
          <w:sz w:val="20"/>
          <w:szCs w:val="20"/>
        </w:rPr>
        <w:t>V</w:t>
      </w:r>
      <w:r w:rsidRPr="00D13496">
        <w:rPr>
          <w:rFonts w:ascii="Arial" w:hAnsi="Arial" w:cs="Arial"/>
          <w:sz w:val="20"/>
          <w:szCs w:val="20"/>
        </w:rPr>
        <w:t>lada</w:t>
      </w:r>
      <w:r w:rsidR="00093F7D" w:rsidRPr="00D13496">
        <w:rPr>
          <w:rFonts w:ascii="Arial" w:hAnsi="Arial" w:cs="Arial"/>
          <w:sz w:val="20"/>
          <w:szCs w:val="20"/>
        </w:rPr>
        <w:t xml:space="preserve"> </w:t>
      </w:r>
      <w:r w:rsidRPr="00D13496">
        <w:rPr>
          <w:rFonts w:ascii="Arial" w:hAnsi="Arial" w:cs="Arial"/>
          <w:sz w:val="20"/>
          <w:szCs w:val="20"/>
        </w:rPr>
        <w:t xml:space="preserve">do Ocene </w:t>
      </w:r>
      <w:r w:rsidR="008A23AE" w:rsidRPr="00D13496">
        <w:rPr>
          <w:rFonts w:ascii="Arial" w:hAnsi="Arial" w:cs="Arial"/>
          <w:sz w:val="20"/>
          <w:szCs w:val="20"/>
        </w:rPr>
        <w:t>poda</w:t>
      </w:r>
      <w:r w:rsidR="00854721" w:rsidRPr="00D13496">
        <w:rPr>
          <w:rFonts w:ascii="Arial" w:hAnsi="Arial" w:cs="Arial"/>
          <w:sz w:val="20"/>
          <w:szCs w:val="20"/>
        </w:rPr>
        <w:t>ja</w:t>
      </w:r>
      <w:r w:rsidR="008A23AE" w:rsidRPr="00D13496">
        <w:rPr>
          <w:rFonts w:ascii="Arial" w:hAnsi="Arial" w:cs="Arial"/>
          <w:sz w:val="20"/>
          <w:szCs w:val="20"/>
        </w:rPr>
        <w:t xml:space="preserve"> obrazloženo s</w:t>
      </w:r>
      <w:r w:rsidRPr="00D13496">
        <w:rPr>
          <w:rFonts w:ascii="Arial" w:hAnsi="Arial" w:cs="Arial"/>
          <w:sz w:val="20"/>
          <w:szCs w:val="20"/>
        </w:rPr>
        <w:t>tališče.</w:t>
      </w:r>
    </w:p>
    <w:p w14:paraId="453E20CD" w14:textId="3E878AFB" w:rsidR="007613DD" w:rsidRPr="00D13496" w:rsidRDefault="00355F71" w:rsidP="008C6EF9">
      <w:pPr>
        <w:spacing w:after="240" w:line="288" w:lineRule="auto"/>
        <w:jc w:val="both"/>
        <w:rPr>
          <w:rFonts w:ascii="Arial" w:hAnsi="Arial" w:cs="Arial"/>
          <w:iCs/>
          <w:sz w:val="20"/>
          <w:szCs w:val="20"/>
        </w:rPr>
      </w:pPr>
      <w:r w:rsidRPr="00D13496">
        <w:rPr>
          <w:rFonts w:ascii="Arial" w:hAnsi="Arial" w:cs="Arial"/>
          <w:iCs/>
          <w:sz w:val="20"/>
          <w:szCs w:val="20"/>
        </w:rPr>
        <w:t xml:space="preserve">Fiskalni svet v </w:t>
      </w:r>
      <w:r w:rsidR="003A4C4B" w:rsidRPr="00D13496">
        <w:rPr>
          <w:rFonts w:ascii="Arial" w:hAnsi="Arial" w:cs="Arial"/>
          <w:iCs/>
          <w:sz w:val="20"/>
          <w:szCs w:val="20"/>
        </w:rPr>
        <w:t>Oceni</w:t>
      </w:r>
      <w:r w:rsidR="00B032A3" w:rsidRPr="00D13496">
        <w:rPr>
          <w:rFonts w:ascii="Arial" w:hAnsi="Arial" w:cs="Arial"/>
          <w:iCs/>
          <w:sz w:val="20"/>
          <w:szCs w:val="20"/>
        </w:rPr>
        <w:t xml:space="preserve"> </w:t>
      </w:r>
      <w:r w:rsidR="007613DD" w:rsidRPr="00D13496">
        <w:rPr>
          <w:rFonts w:ascii="Arial" w:hAnsi="Arial" w:cs="Arial"/>
          <w:iCs/>
          <w:sz w:val="20"/>
          <w:szCs w:val="20"/>
        </w:rPr>
        <w:t>ugotavlja, da bo predvidena fiskalna politika v prihodnjih letih v povprečju nev</w:t>
      </w:r>
      <w:r w:rsidR="00634E55" w:rsidRPr="00D13496">
        <w:rPr>
          <w:rFonts w:ascii="Arial" w:hAnsi="Arial" w:cs="Arial"/>
          <w:iCs/>
          <w:sz w:val="20"/>
          <w:szCs w:val="20"/>
        </w:rPr>
        <w:t>tr</w:t>
      </w:r>
      <w:r w:rsidR="007613DD" w:rsidRPr="00D13496">
        <w:rPr>
          <w:rFonts w:ascii="Arial" w:hAnsi="Arial" w:cs="Arial"/>
          <w:iCs/>
          <w:sz w:val="20"/>
          <w:szCs w:val="20"/>
        </w:rPr>
        <w:t xml:space="preserve">alna. Večina kazalnikov kaže tudi na spoštovanje </w:t>
      </w:r>
      <w:r w:rsidR="00EF2DD1" w:rsidRPr="00D13496">
        <w:rPr>
          <w:rFonts w:ascii="Arial" w:hAnsi="Arial" w:cs="Arial"/>
          <w:iCs/>
          <w:sz w:val="20"/>
          <w:szCs w:val="20"/>
        </w:rPr>
        <w:t xml:space="preserve">oziroma sprejemljivo odstopanje od zahtev </w:t>
      </w:r>
      <w:r w:rsidR="007613DD" w:rsidRPr="00D13496">
        <w:rPr>
          <w:rFonts w:ascii="Arial" w:hAnsi="Arial" w:cs="Arial"/>
          <w:iCs/>
          <w:sz w:val="20"/>
          <w:szCs w:val="20"/>
        </w:rPr>
        <w:t>fiskalnih pravil, ki pa se zaradi njihove prenove na ravni E</w:t>
      </w:r>
      <w:r w:rsidR="001604C1" w:rsidRPr="00D13496">
        <w:rPr>
          <w:rFonts w:ascii="Arial" w:hAnsi="Arial" w:cs="Arial"/>
          <w:iCs/>
          <w:sz w:val="20"/>
          <w:szCs w:val="20"/>
        </w:rPr>
        <w:t>vropske unije (v nadaljnjem besedilu: E</w:t>
      </w:r>
      <w:r w:rsidR="007613DD" w:rsidRPr="00D13496">
        <w:rPr>
          <w:rFonts w:ascii="Arial" w:hAnsi="Arial" w:cs="Arial"/>
          <w:iCs/>
          <w:sz w:val="20"/>
          <w:szCs w:val="20"/>
        </w:rPr>
        <w:t>U</w:t>
      </w:r>
      <w:r w:rsidR="001604C1" w:rsidRPr="00D13496">
        <w:rPr>
          <w:rFonts w:ascii="Arial" w:hAnsi="Arial" w:cs="Arial"/>
          <w:iCs/>
          <w:sz w:val="20"/>
          <w:szCs w:val="20"/>
        </w:rPr>
        <w:t>)</w:t>
      </w:r>
      <w:r w:rsidR="003514D2" w:rsidRPr="00D13496">
        <w:rPr>
          <w:rFonts w:ascii="Arial" w:hAnsi="Arial" w:cs="Arial"/>
          <w:iCs/>
          <w:sz w:val="20"/>
          <w:szCs w:val="20"/>
        </w:rPr>
        <w:t xml:space="preserve"> kljub prenehanju</w:t>
      </w:r>
      <w:r w:rsidR="000243BF" w:rsidRPr="00D13496">
        <w:rPr>
          <w:rFonts w:ascii="Arial" w:hAnsi="Arial" w:cs="Arial"/>
          <w:iCs/>
          <w:sz w:val="20"/>
          <w:szCs w:val="20"/>
        </w:rPr>
        <w:t xml:space="preserve"> veljavnosti</w:t>
      </w:r>
      <w:r w:rsidR="003514D2" w:rsidRPr="00D13496">
        <w:rPr>
          <w:rFonts w:ascii="Arial" w:hAnsi="Arial" w:cs="Arial"/>
          <w:iCs/>
          <w:sz w:val="20"/>
          <w:szCs w:val="20"/>
        </w:rPr>
        <w:t xml:space="preserve"> splošne odstopne klavzule</w:t>
      </w:r>
      <w:r w:rsidR="000243BF" w:rsidRPr="00D13496">
        <w:rPr>
          <w:rFonts w:ascii="Arial" w:hAnsi="Arial" w:cs="Arial"/>
          <w:iCs/>
          <w:sz w:val="20"/>
          <w:szCs w:val="20"/>
        </w:rPr>
        <w:t xml:space="preserve"> z letom 2024</w:t>
      </w:r>
      <w:r w:rsidR="007613DD" w:rsidRPr="00D13496">
        <w:rPr>
          <w:rFonts w:ascii="Arial" w:hAnsi="Arial" w:cs="Arial"/>
          <w:iCs/>
          <w:sz w:val="20"/>
          <w:szCs w:val="20"/>
        </w:rPr>
        <w:t xml:space="preserve"> ne bodo uporabljala v celotnem obsegu. Fiskalne projekcije </w:t>
      </w:r>
      <w:r w:rsidR="003514D2" w:rsidRPr="00D13496">
        <w:rPr>
          <w:rFonts w:ascii="Arial" w:hAnsi="Arial" w:cs="Arial"/>
          <w:iCs/>
          <w:sz w:val="20"/>
          <w:szCs w:val="20"/>
        </w:rPr>
        <w:t>Fiskalni</w:t>
      </w:r>
      <w:r w:rsidR="007613DD" w:rsidRPr="00D13496">
        <w:rPr>
          <w:rFonts w:ascii="Arial" w:hAnsi="Arial" w:cs="Arial"/>
          <w:iCs/>
          <w:sz w:val="20"/>
          <w:szCs w:val="20"/>
        </w:rPr>
        <w:t xml:space="preserve"> svet ocenjuje kot skladn</w:t>
      </w:r>
      <w:r w:rsidR="003514D2" w:rsidRPr="00D13496">
        <w:rPr>
          <w:rFonts w:ascii="Arial" w:hAnsi="Arial" w:cs="Arial"/>
          <w:iCs/>
          <w:sz w:val="20"/>
          <w:szCs w:val="20"/>
        </w:rPr>
        <w:t>e</w:t>
      </w:r>
      <w:r w:rsidR="007613DD" w:rsidRPr="00D13496">
        <w:rPr>
          <w:rFonts w:ascii="Arial" w:hAnsi="Arial" w:cs="Arial"/>
          <w:iCs/>
          <w:sz w:val="20"/>
          <w:szCs w:val="20"/>
        </w:rPr>
        <w:t xml:space="preserve"> z načelom previdnosti</w:t>
      </w:r>
      <w:r w:rsidR="003514D2" w:rsidRPr="00D13496">
        <w:rPr>
          <w:rFonts w:ascii="Arial" w:hAnsi="Arial" w:cs="Arial"/>
          <w:iCs/>
          <w:sz w:val="20"/>
          <w:szCs w:val="20"/>
        </w:rPr>
        <w:t>, vseeno pa opozarja na omejen manevrski prostor fiskalne politike v prihodnje. Zato bi bilo potrebno čim prej izvesti reforme, ki bi ustrezno naslavljale demografske spremembe in vzdržnost sistemov socialnega varstva, omejile rast tekoče porabe ter zagotavljale razvoj in večjo odpornost gospodarstva. Pri tem je pomembno, da so učinki predvidenih reform ustrezno ovrednoteni.</w:t>
      </w:r>
    </w:p>
    <w:p w14:paraId="4E09F1EA" w14:textId="632166FC" w:rsidR="0053608B" w:rsidRPr="00D13496" w:rsidRDefault="00A31D94" w:rsidP="008C6EF9">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t xml:space="preserve">V zvezi s posredovano </w:t>
      </w:r>
      <w:r w:rsidR="00821D5C" w:rsidRPr="00D13496">
        <w:rPr>
          <w:rFonts w:ascii="Arial" w:hAnsi="Arial" w:cs="Arial"/>
          <w:iCs/>
          <w:sz w:val="20"/>
          <w:szCs w:val="20"/>
        </w:rPr>
        <w:t>O</w:t>
      </w:r>
      <w:r w:rsidRPr="00D13496">
        <w:rPr>
          <w:rFonts w:ascii="Arial" w:hAnsi="Arial" w:cs="Arial"/>
          <w:iCs/>
          <w:sz w:val="20"/>
          <w:szCs w:val="20"/>
        </w:rPr>
        <w:t xml:space="preserve">ceno Fiskalnega sveta vlada </w:t>
      </w:r>
      <w:r w:rsidR="00821D5C" w:rsidRPr="00D13496">
        <w:rPr>
          <w:rFonts w:ascii="Arial" w:hAnsi="Arial" w:cs="Arial"/>
          <w:iCs/>
          <w:sz w:val="20"/>
          <w:szCs w:val="20"/>
        </w:rPr>
        <w:t>podaja naslednja</w:t>
      </w:r>
      <w:r w:rsidR="00A04455" w:rsidRPr="00D13496">
        <w:rPr>
          <w:rFonts w:ascii="Arial" w:hAnsi="Arial" w:cs="Arial"/>
          <w:iCs/>
          <w:sz w:val="20"/>
          <w:szCs w:val="20"/>
        </w:rPr>
        <w:t xml:space="preserve"> pojasnila.</w:t>
      </w:r>
    </w:p>
    <w:p w14:paraId="1378B67A" w14:textId="66F806E7" w:rsidR="00EF2DD1" w:rsidRPr="00D13496" w:rsidRDefault="00EF2DD1" w:rsidP="008C6EF9">
      <w:pPr>
        <w:overflowPunct w:val="0"/>
        <w:autoSpaceDE w:val="0"/>
        <w:autoSpaceDN w:val="0"/>
        <w:adjustRightInd w:val="0"/>
        <w:spacing w:after="240" w:line="288" w:lineRule="auto"/>
        <w:jc w:val="both"/>
        <w:textAlignment w:val="baseline"/>
        <w:rPr>
          <w:rFonts w:ascii="Arial" w:hAnsi="Arial" w:cs="Arial"/>
          <w:i/>
          <w:sz w:val="20"/>
          <w:szCs w:val="20"/>
        </w:rPr>
      </w:pPr>
      <w:r w:rsidRPr="00D13496">
        <w:rPr>
          <w:rFonts w:ascii="Arial" w:hAnsi="Arial" w:cs="Arial"/>
          <w:i/>
          <w:sz w:val="20"/>
          <w:szCs w:val="20"/>
        </w:rPr>
        <w:t>Makroekonomsko okolje</w:t>
      </w:r>
    </w:p>
    <w:p w14:paraId="1F06BC01" w14:textId="343CF34E" w:rsidR="00246302" w:rsidRPr="00D13496" w:rsidRDefault="00246302" w:rsidP="00246302">
      <w:pPr>
        <w:jc w:val="both"/>
        <w:rPr>
          <w:rFonts w:ascii="Arial" w:hAnsi="Arial" w:cs="Arial"/>
          <w:color w:val="FF0000"/>
          <w:sz w:val="20"/>
          <w:szCs w:val="20"/>
        </w:rPr>
      </w:pPr>
      <w:r w:rsidRPr="00D13496">
        <w:rPr>
          <w:rFonts w:ascii="Arial" w:hAnsi="Arial" w:cs="Arial"/>
          <w:sz w:val="20"/>
          <w:szCs w:val="20"/>
        </w:rPr>
        <w:t>Po 5,4-odstotnem povečanju realnega BDP v lanskem letu se bo v gospodarska rast v</w:t>
      </w:r>
      <w:r w:rsidR="001604C1" w:rsidRPr="00D13496">
        <w:rPr>
          <w:rFonts w:ascii="Arial" w:hAnsi="Arial" w:cs="Arial"/>
          <w:sz w:val="20"/>
          <w:szCs w:val="20"/>
        </w:rPr>
        <w:t xml:space="preserve"> Republiki</w:t>
      </w:r>
      <w:r w:rsidRPr="00D13496">
        <w:rPr>
          <w:rFonts w:ascii="Arial" w:hAnsi="Arial" w:cs="Arial"/>
          <w:sz w:val="20"/>
          <w:szCs w:val="20"/>
        </w:rPr>
        <w:t xml:space="preserve"> Sloveniji</w:t>
      </w:r>
      <w:r w:rsidR="001604C1" w:rsidRPr="00D13496">
        <w:rPr>
          <w:rFonts w:ascii="Arial" w:hAnsi="Arial" w:cs="Arial"/>
          <w:sz w:val="20"/>
          <w:szCs w:val="20"/>
        </w:rPr>
        <w:t xml:space="preserve"> (v nadaljnjem besedilu: Slovenija)</w:t>
      </w:r>
      <w:r w:rsidRPr="00D13496">
        <w:rPr>
          <w:rFonts w:ascii="Arial" w:hAnsi="Arial" w:cs="Arial"/>
          <w:sz w:val="20"/>
          <w:szCs w:val="20"/>
        </w:rPr>
        <w:t xml:space="preserve"> v skladu </w:t>
      </w:r>
      <w:r w:rsidR="001E2735" w:rsidRPr="00D13496">
        <w:rPr>
          <w:rFonts w:ascii="Arial" w:hAnsi="Arial" w:cs="Arial"/>
          <w:sz w:val="20"/>
          <w:szCs w:val="20"/>
        </w:rPr>
        <w:t>s</w:t>
      </w:r>
      <w:r w:rsidRPr="00D13496">
        <w:rPr>
          <w:rFonts w:ascii="Arial" w:hAnsi="Arial" w:cs="Arial"/>
          <w:sz w:val="20"/>
          <w:szCs w:val="20"/>
        </w:rPr>
        <w:t xml:space="preserve"> Pomladansko napovedjo 2023 Urada Republike Slovenije za makroekonomske analize in razvoj (v </w:t>
      </w:r>
      <w:r w:rsidR="0021155D" w:rsidRPr="00D13496">
        <w:rPr>
          <w:rFonts w:ascii="Arial" w:hAnsi="Arial" w:cs="Arial"/>
          <w:sz w:val="20"/>
          <w:szCs w:val="20"/>
        </w:rPr>
        <w:t>nadaljnjem</w:t>
      </w:r>
      <w:r w:rsidRPr="00D13496">
        <w:rPr>
          <w:rFonts w:ascii="Arial" w:hAnsi="Arial" w:cs="Arial"/>
          <w:sz w:val="20"/>
          <w:szCs w:val="20"/>
        </w:rPr>
        <w:t xml:space="preserve"> besedilu: UMAR) letos upočasnila na 1,8 %, za tem pa nekoliko okrepila na 2,5 % v 2024 in 2,6 % v 2025. Mednarodni denarni sklad (</w:t>
      </w:r>
      <w:r w:rsidR="0021155D" w:rsidRPr="00D13496">
        <w:rPr>
          <w:rFonts w:ascii="Arial" w:hAnsi="Arial" w:cs="Arial"/>
          <w:sz w:val="20"/>
          <w:szCs w:val="20"/>
        </w:rPr>
        <w:t xml:space="preserve">v nadaljnjem besedilu: </w:t>
      </w:r>
      <w:r w:rsidRPr="00D13496">
        <w:rPr>
          <w:rFonts w:ascii="Arial" w:hAnsi="Arial" w:cs="Arial"/>
          <w:sz w:val="20"/>
          <w:szCs w:val="20"/>
        </w:rPr>
        <w:t xml:space="preserve">IMF) predvideva še nekoliko šibkejšo dinamiko gospodarske rasti, v skladu z aprilsko napovedjo naj bi se realni </w:t>
      </w:r>
      <w:r w:rsidR="0021155D" w:rsidRPr="00D13496">
        <w:rPr>
          <w:rFonts w:ascii="Arial" w:hAnsi="Arial" w:cs="Arial"/>
          <w:sz w:val="20"/>
          <w:szCs w:val="20"/>
        </w:rPr>
        <w:t xml:space="preserve">bruto domači proizvod (v nadaljnjem besedilu: </w:t>
      </w:r>
      <w:r w:rsidRPr="00D13496">
        <w:rPr>
          <w:rFonts w:ascii="Arial" w:hAnsi="Arial" w:cs="Arial"/>
          <w:sz w:val="20"/>
          <w:szCs w:val="20"/>
        </w:rPr>
        <w:t>BDP</w:t>
      </w:r>
      <w:r w:rsidR="0021155D" w:rsidRPr="00D13496">
        <w:rPr>
          <w:rFonts w:ascii="Arial" w:hAnsi="Arial" w:cs="Arial"/>
          <w:sz w:val="20"/>
          <w:szCs w:val="20"/>
        </w:rPr>
        <w:t>)</w:t>
      </w:r>
      <w:r w:rsidRPr="00D13496">
        <w:rPr>
          <w:rFonts w:ascii="Arial" w:hAnsi="Arial" w:cs="Arial"/>
          <w:sz w:val="20"/>
          <w:szCs w:val="20"/>
        </w:rPr>
        <w:t xml:space="preserve"> Slovenije v letu 2023 povečal za 1,6 %, v letu 2024 pa za 2,1 %. Kljub temu IMF za Slovenijo ocenjuje višjo gospodarsko rast kot za evrsko območje, kjer naj bi v 2023 znašala 0,8 %</w:t>
      </w:r>
      <w:r w:rsidR="001E2735" w:rsidRPr="00D13496">
        <w:rPr>
          <w:rFonts w:ascii="Arial" w:hAnsi="Arial" w:cs="Arial"/>
          <w:sz w:val="20"/>
          <w:szCs w:val="20"/>
        </w:rPr>
        <w:t>,</w:t>
      </w:r>
      <w:r w:rsidRPr="00D13496">
        <w:rPr>
          <w:rFonts w:ascii="Arial" w:hAnsi="Arial" w:cs="Arial"/>
          <w:sz w:val="20"/>
          <w:szCs w:val="20"/>
        </w:rPr>
        <w:t xml:space="preserve"> v 2024 pa 1,4 %. </w:t>
      </w:r>
    </w:p>
    <w:p w14:paraId="26DD0AF4" w14:textId="711B70D2" w:rsidR="00112C6D" w:rsidRPr="00D13496" w:rsidRDefault="00112C6D" w:rsidP="00112C6D">
      <w:pPr>
        <w:jc w:val="both"/>
        <w:rPr>
          <w:rFonts w:ascii="Arial" w:hAnsi="Arial" w:cs="Arial"/>
          <w:sz w:val="20"/>
          <w:szCs w:val="20"/>
        </w:rPr>
      </w:pPr>
      <w:bookmarkStart w:id="1" w:name="_Hlk132702091"/>
      <w:r w:rsidRPr="00D13496">
        <w:rPr>
          <w:rFonts w:ascii="Arial" w:hAnsi="Arial" w:cs="Arial"/>
          <w:sz w:val="20"/>
          <w:szCs w:val="20"/>
        </w:rPr>
        <w:t>Kot navaja UMAR</w:t>
      </w:r>
      <w:r w:rsidR="001E2735" w:rsidRPr="00D13496">
        <w:rPr>
          <w:rFonts w:ascii="Arial" w:hAnsi="Arial" w:cs="Arial"/>
          <w:sz w:val="20"/>
          <w:szCs w:val="20"/>
        </w:rPr>
        <w:t>,</w:t>
      </w:r>
      <w:r w:rsidRPr="00D13496">
        <w:rPr>
          <w:rFonts w:ascii="Arial" w:hAnsi="Arial" w:cs="Arial"/>
          <w:sz w:val="20"/>
          <w:szCs w:val="20"/>
        </w:rPr>
        <w:t xml:space="preserve"> se je proizvodnja v predelovalnih dejavnostih v januarju in februarju 2023 v primerjavi z lanskim zadnjim četrtletjem povečala zaradi povečanja obsega proizvodnje IKT opreme in farmacevtskih izdelkov. V preostalih skupinah, predvsem v energetsko intenzivnejših panogah</w:t>
      </w:r>
      <w:r w:rsidR="000B7F0D" w:rsidRPr="00D13496">
        <w:rPr>
          <w:rFonts w:ascii="Arial" w:hAnsi="Arial" w:cs="Arial"/>
          <w:sz w:val="20"/>
          <w:szCs w:val="20"/>
        </w:rPr>
        <w:t>,</w:t>
      </w:r>
      <w:r w:rsidRPr="00D13496">
        <w:rPr>
          <w:rFonts w:ascii="Arial" w:hAnsi="Arial" w:cs="Arial"/>
          <w:sz w:val="20"/>
          <w:szCs w:val="20"/>
        </w:rPr>
        <w:t xml:space="preserve"> se je proizvodna zmanjšala. Medletno je </w:t>
      </w:r>
      <w:r w:rsidR="006E1C96" w:rsidRPr="00D13496">
        <w:rPr>
          <w:rFonts w:ascii="Arial" w:hAnsi="Arial" w:cs="Arial"/>
          <w:sz w:val="20"/>
          <w:szCs w:val="20"/>
        </w:rPr>
        <w:t>proizvodnja</w:t>
      </w:r>
      <w:r w:rsidRPr="00D13496">
        <w:rPr>
          <w:rFonts w:ascii="Arial" w:hAnsi="Arial" w:cs="Arial"/>
          <w:sz w:val="20"/>
          <w:szCs w:val="20"/>
        </w:rPr>
        <w:t xml:space="preserve"> v predelovalnih dejavnostih ostala na podobni ravni. </w:t>
      </w:r>
      <w:r w:rsidRPr="00D13496">
        <w:rPr>
          <w:rFonts w:ascii="Arial" w:hAnsi="Arial" w:cs="Arial"/>
          <w:sz w:val="20"/>
          <w:szCs w:val="20"/>
        </w:rPr>
        <w:lastRenderedPageBreak/>
        <w:t xml:space="preserve">Aktivnost v gradbeništvu se je februarja še pospešila in bila medletno višja za 18 %. Predvsem se je povečala gradnja stanovanjskih stavb. </w:t>
      </w:r>
    </w:p>
    <w:p w14:paraId="08F9F927" w14:textId="76773EA0" w:rsidR="00112C6D" w:rsidRPr="00D13496" w:rsidRDefault="00112C6D" w:rsidP="00112C6D">
      <w:pPr>
        <w:jc w:val="both"/>
        <w:rPr>
          <w:rFonts w:ascii="Arial" w:hAnsi="Arial" w:cs="Arial"/>
          <w:sz w:val="20"/>
          <w:szCs w:val="20"/>
        </w:rPr>
      </w:pPr>
      <w:r w:rsidRPr="00D13496">
        <w:rPr>
          <w:rFonts w:ascii="Arial" w:hAnsi="Arial" w:cs="Arial"/>
          <w:sz w:val="20"/>
          <w:szCs w:val="20"/>
        </w:rPr>
        <w:t>Kazalnik gospodarske klime</w:t>
      </w:r>
      <w:r w:rsidRPr="00D13496">
        <w:rPr>
          <w:rStyle w:val="Sprotnaopomba-sklic"/>
          <w:rFonts w:ascii="Arial" w:hAnsi="Arial" w:cs="Arial"/>
          <w:sz w:val="20"/>
          <w:szCs w:val="20"/>
        </w:rPr>
        <w:footnoteReference w:id="2"/>
      </w:r>
      <w:r w:rsidRPr="00D13496">
        <w:rPr>
          <w:rFonts w:ascii="Arial" w:hAnsi="Arial" w:cs="Arial"/>
          <w:sz w:val="20"/>
          <w:szCs w:val="20"/>
        </w:rPr>
        <w:t xml:space="preserve"> se je sicer v Sloveniji prvih treh mesecih 2023 znižal pod svoje dolgoročno povprečje (Slika 1), a vseeno v marcu</w:t>
      </w:r>
      <w:r w:rsidR="006E1C96" w:rsidRPr="00D13496">
        <w:rPr>
          <w:rFonts w:ascii="Arial" w:hAnsi="Arial" w:cs="Arial"/>
          <w:sz w:val="20"/>
          <w:szCs w:val="20"/>
        </w:rPr>
        <w:t xml:space="preserve"> 2023</w:t>
      </w:r>
      <w:r w:rsidRPr="00D13496">
        <w:rPr>
          <w:rFonts w:ascii="Arial" w:hAnsi="Arial" w:cs="Arial"/>
          <w:sz w:val="20"/>
          <w:szCs w:val="20"/>
        </w:rPr>
        <w:t xml:space="preserve"> ni bistveno odstopal od EU povprečja oziroma se je znižal v približno enakem obsegu kot v povprečju EU. V Sloveniji so se namreč proizvodna in prodajna pričakovanja v prvem četrtletju poslabšala, upadlo je tudi zaupanje v gradbeništvu. Se pa je zaupanje potrošnikov v marcu </w:t>
      </w:r>
      <w:r w:rsidR="006E1C96" w:rsidRPr="00D13496">
        <w:rPr>
          <w:rFonts w:ascii="Arial" w:hAnsi="Arial" w:cs="Arial"/>
          <w:sz w:val="20"/>
          <w:szCs w:val="20"/>
        </w:rPr>
        <w:t xml:space="preserve">2023 </w:t>
      </w:r>
      <w:r w:rsidRPr="00D13496">
        <w:rPr>
          <w:rFonts w:ascii="Arial" w:hAnsi="Arial" w:cs="Arial"/>
          <w:sz w:val="20"/>
          <w:szCs w:val="20"/>
        </w:rPr>
        <w:t>nekoliko okrepilo, zaupanje v storitvenih dejavnostih pa se povečuje že od konca lanskega leta.</w:t>
      </w:r>
    </w:p>
    <w:bookmarkEnd w:id="1"/>
    <w:p w14:paraId="3A135AF3" w14:textId="46E7597F" w:rsidR="00464D3A" w:rsidRPr="00464D3A" w:rsidRDefault="00464D3A" w:rsidP="00464D3A">
      <w:pPr>
        <w:pStyle w:val="Napis"/>
        <w:keepNext/>
        <w:spacing w:after="0"/>
        <w:rPr>
          <w:rFonts w:ascii="Arial" w:hAnsi="Arial" w:cs="Arial"/>
          <w:i w:val="0"/>
          <w:iCs w:val="0"/>
          <w:color w:val="auto"/>
          <w:sz w:val="22"/>
          <w:szCs w:val="22"/>
          <w:lang w:val="sl-SI"/>
        </w:rPr>
      </w:pPr>
      <w:r w:rsidRPr="00464D3A">
        <w:rPr>
          <w:rFonts w:ascii="Arial" w:hAnsi="Arial" w:cs="Arial"/>
          <w:i w:val="0"/>
          <w:iCs w:val="0"/>
          <w:color w:val="auto"/>
          <w:sz w:val="22"/>
          <w:szCs w:val="22"/>
          <w:lang w:val="sl-SI"/>
        </w:rPr>
        <w:t xml:space="preserve">Slika </w:t>
      </w:r>
      <w:r w:rsidRPr="00464D3A">
        <w:rPr>
          <w:rFonts w:ascii="Arial" w:hAnsi="Arial" w:cs="Arial"/>
          <w:i w:val="0"/>
          <w:iCs w:val="0"/>
          <w:color w:val="auto"/>
          <w:sz w:val="22"/>
          <w:szCs w:val="22"/>
          <w:lang w:val="sl-SI"/>
        </w:rPr>
        <w:fldChar w:fldCharType="begin"/>
      </w:r>
      <w:r w:rsidRPr="00464D3A">
        <w:rPr>
          <w:rFonts w:ascii="Arial" w:hAnsi="Arial" w:cs="Arial"/>
          <w:i w:val="0"/>
          <w:iCs w:val="0"/>
          <w:color w:val="auto"/>
          <w:sz w:val="22"/>
          <w:szCs w:val="22"/>
          <w:lang w:val="sl-SI"/>
        </w:rPr>
        <w:instrText xml:space="preserve"> SEQ Figure \* ARABIC </w:instrText>
      </w:r>
      <w:r w:rsidRPr="00464D3A">
        <w:rPr>
          <w:rFonts w:ascii="Arial" w:hAnsi="Arial" w:cs="Arial"/>
          <w:i w:val="0"/>
          <w:iCs w:val="0"/>
          <w:color w:val="auto"/>
          <w:sz w:val="22"/>
          <w:szCs w:val="22"/>
          <w:lang w:val="sl-SI"/>
        </w:rPr>
        <w:fldChar w:fldCharType="separate"/>
      </w:r>
      <w:r w:rsidR="00B65564">
        <w:rPr>
          <w:rFonts w:ascii="Arial" w:hAnsi="Arial" w:cs="Arial"/>
          <w:i w:val="0"/>
          <w:iCs w:val="0"/>
          <w:noProof/>
          <w:color w:val="auto"/>
          <w:sz w:val="22"/>
          <w:szCs w:val="22"/>
          <w:lang w:val="sl-SI"/>
        </w:rPr>
        <w:t>1</w:t>
      </w:r>
      <w:r w:rsidRPr="00464D3A">
        <w:rPr>
          <w:rFonts w:ascii="Arial" w:hAnsi="Arial" w:cs="Arial"/>
          <w:i w:val="0"/>
          <w:iCs w:val="0"/>
          <w:color w:val="auto"/>
          <w:sz w:val="22"/>
          <w:szCs w:val="22"/>
          <w:lang w:val="sl-SI"/>
        </w:rPr>
        <w:fldChar w:fldCharType="end"/>
      </w:r>
      <w:r w:rsidRPr="00464D3A">
        <w:rPr>
          <w:rFonts w:ascii="Arial" w:hAnsi="Arial" w:cs="Arial"/>
          <w:i w:val="0"/>
          <w:iCs w:val="0"/>
          <w:color w:val="auto"/>
          <w:sz w:val="22"/>
          <w:szCs w:val="22"/>
          <w:lang w:val="sl-SI"/>
        </w:rPr>
        <w:t xml:space="preserve">: Kazalniki zaupanja </w:t>
      </w:r>
    </w:p>
    <w:p w14:paraId="1394DDD8" w14:textId="77777777" w:rsidR="00464D3A" w:rsidRPr="00464D3A" w:rsidRDefault="00464D3A" w:rsidP="00464D3A">
      <w:pPr>
        <w:spacing w:after="0"/>
        <w:rPr>
          <w:rFonts w:ascii="Arial" w:hAnsi="Arial" w:cs="Arial"/>
        </w:rPr>
      </w:pPr>
      <w:r w:rsidRPr="00464D3A">
        <w:rPr>
          <w:rFonts w:ascii="Arial" w:hAnsi="Arial" w:cs="Arial"/>
          <w:noProof/>
          <w:lang w:eastAsia="sl-SI"/>
        </w:rPr>
        <w:drawing>
          <wp:inline distT="0" distB="0" distL="0" distR="0" wp14:anchorId="54C1EBDA" wp14:editId="2E81F87E">
            <wp:extent cx="5760720" cy="3988435"/>
            <wp:effectExtent l="0" t="0" r="0" b="0"/>
            <wp:docPr id="2" name="Chart 1">
              <a:extLst xmlns:a="http://schemas.openxmlformats.org/drawingml/2006/main">
                <a:ext uri="{FF2B5EF4-FFF2-40B4-BE49-F238E27FC236}">
                  <a16:creationId xmlns:a16="http://schemas.microsoft.com/office/drawing/2014/main" id="{5F80A11A-F7E1-B7B1-EC07-D31E81D970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10F5879" w14:textId="77777777" w:rsidR="00464D3A" w:rsidRPr="00D13496" w:rsidRDefault="00464D3A" w:rsidP="00464D3A">
      <w:pPr>
        <w:rPr>
          <w:rFonts w:ascii="Arial" w:hAnsi="Arial" w:cs="Arial"/>
          <w:sz w:val="20"/>
          <w:szCs w:val="20"/>
        </w:rPr>
      </w:pPr>
      <w:r w:rsidRPr="00D13496">
        <w:rPr>
          <w:rFonts w:ascii="Arial" w:hAnsi="Arial" w:cs="Arial"/>
          <w:sz w:val="20"/>
          <w:szCs w:val="20"/>
        </w:rPr>
        <w:t>Vir: SURS, 18. 4. 2023; lastni preračuni.</w:t>
      </w:r>
    </w:p>
    <w:p w14:paraId="7779717E" w14:textId="60DE87EC" w:rsidR="00246302" w:rsidRPr="00D13496" w:rsidRDefault="00246302" w:rsidP="00246302">
      <w:pPr>
        <w:jc w:val="both"/>
        <w:rPr>
          <w:rFonts w:ascii="Arial" w:hAnsi="Arial" w:cs="Arial"/>
          <w:color w:val="FF0000"/>
          <w:sz w:val="20"/>
          <w:szCs w:val="20"/>
        </w:rPr>
      </w:pPr>
      <w:r w:rsidRPr="00D13496">
        <w:rPr>
          <w:rFonts w:ascii="Arial" w:hAnsi="Arial" w:cs="Arial"/>
          <w:sz w:val="20"/>
          <w:szCs w:val="20"/>
        </w:rPr>
        <w:t>Fiskalni svet ugotavlja, da je makroekonomski scenarij v Programu stabilnosti 2023 ugodnejši kot v Osnutku proračunskega načrta 2023, kar je zlasti posledica vztrajno visoke inflacije, ki ugodno vpliva na napovedi davčnih osnov. V primerjavi z jesenskimi napovedmi pa so se tudi realni gospodarski obeti nekoliko izboljšali, med drugim tudi zaradi zmanjšanja negotovosti okoli oskrbe z energenti in gibanja njihovih cen ter višje od pričakovane gospodarske rasti v zadnjem četrtletju 2022.</w:t>
      </w:r>
    </w:p>
    <w:p w14:paraId="715032F3" w14:textId="51E6A6BA" w:rsidR="00704894" w:rsidRPr="00D13496" w:rsidRDefault="00246302" w:rsidP="00704894">
      <w:pPr>
        <w:jc w:val="both"/>
        <w:rPr>
          <w:rFonts w:ascii="Arial" w:hAnsi="Arial" w:cs="Arial"/>
          <w:sz w:val="20"/>
          <w:szCs w:val="20"/>
        </w:rPr>
      </w:pPr>
      <w:r w:rsidRPr="00D13496">
        <w:rPr>
          <w:rFonts w:ascii="Arial" w:hAnsi="Arial" w:cs="Arial"/>
          <w:sz w:val="20"/>
          <w:szCs w:val="20"/>
        </w:rPr>
        <w:t xml:space="preserve">V letu 2022 so se cene življenjskih potrebščin v Sloveniji v povprečju povečale za </w:t>
      </w:r>
      <w:r w:rsidR="007D5FB5" w:rsidRPr="00D13496">
        <w:rPr>
          <w:rFonts w:ascii="Arial" w:hAnsi="Arial" w:cs="Arial"/>
          <w:sz w:val="20"/>
          <w:szCs w:val="20"/>
        </w:rPr>
        <w:t>8,8</w:t>
      </w:r>
      <w:r w:rsidRPr="00D13496">
        <w:rPr>
          <w:rFonts w:ascii="Arial" w:hAnsi="Arial" w:cs="Arial"/>
          <w:sz w:val="20"/>
          <w:szCs w:val="20"/>
        </w:rPr>
        <w:t xml:space="preserve"> %. </w:t>
      </w:r>
      <w:r w:rsidR="00704894" w:rsidRPr="00D13496">
        <w:rPr>
          <w:rFonts w:ascii="Arial" w:hAnsi="Arial" w:cs="Arial"/>
          <w:sz w:val="20"/>
          <w:szCs w:val="20"/>
        </w:rPr>
        <w:t xml:space="preserve">Vlada je bila v preteklem letu v boju z inflacijo uspešna, </w:t>
      </w:r>
      <w:r w:rsidR="00464D3A" w:rsidRPr="00D13496">
        <w:rPr>
          <w:rFonts w:ascii="Arial" w:hAnsi="Arial" w:cs="Arial"/>
          <w:sz w:val="20"/>
          <w:szCs w:val="20"/>
        </w:rPr>
        <w:t>saj UMAR ocenjuje, da so vladni ukrepi</w:t>
      </w:r>
      <w:r w:rsidR="00704894" w:rsidRPr="00D13496">
        <w:rPr>
          <w:rFonts w:ascii="Arial" w:hAnsi="Arial" w:cs="Arial"/>
          <w:sz w:val="20"/>
          <w:szCs w:val="20"/>
        </w:rPr>
        <w:t>, ki poleg sprememb davkov in drugih dajatev vključuje tudi učinke regulacije cen energentov (naftnih derivatov, elektrike in plina)</w:t>
      </w:r>
      <w:r w:rsidR="00464D3A" w:rsidRPr="00D13496">
        <w:rPr>
          <w:rFonts w:ascii="Arial" w:hAnsi="Arial" w:cs="Arial"/>
          <w:sz w:val="20"/>
          <w:szCs w:val="20"/>
        </w:rPr>
        <w:t xml:space="preserve">, </w:t>
      </w:r>
      <w:r w:rsidR="00072D68" w:rsidRPr="00D13496">
        <w:rPr>
          <w:rFonts w:ascii="Arial" w:hAnsi="Arial" w:cs="Arial"/>
          <w:sz w:val="20"/>
          <w:szCs w:val="20"/>
        </w:rPr>
        <w:t>znižali</w:t>
      </w:r>
      <w:r w:rsidR="00704894" w:rsidRPr="00D13496">
        <w:rPr>
          <w:rFonts w:ascii="Arial" w:hAnsi="Arial" w:cs="Arial"/>
          <w:sz w:val="20"/>
          <w:szCs w:val="20"/>
        </w:rPr>
        <w:t xml:space="preserve"> inflacijo</w:t>
      </w:r>
      <w:r w:rsidR="000F605E" w:rsidRPr="00D13496">
        <w:rPr>
          <w:rFonts w:ascii="Arial" w:hAnsi="Arial" w:cs="Arial"/>
          <w:sz w:val="20"/>
          <w:szCs w:val="20"/>
        </w:rPr>
        <w:t>,</w:t>
      </w:r>
      <w:r w:rsidR="00704894" w:rsidRPr="00D13496">
        <w:rPr>
          <w:rFonts w:ascii="Arial" w:hAnsi="Arial" w:cs="Arial"/>
          <w:sz w:val="20"/>
          <w:szCs w:val="20"/>
        </w:rPr>
        <w:t xml:space="preserve"> merjeno</w:t>
      </w:r>
      <w:r w:rsidR="00464D3A" w:rsidRPr="00D13496">
        <w:rPr>
          <w:rFonts w:ascii="Arial" w:hAnsi="Arial" w:cs="Arial"/>
          <w:sz w:val="20"/>
          <w:szCs w:val="20"/>
        </w:rPr>
        <w:t xml:space="preserve"> z</w:t>
      </w:r>
      <w:r w:rsidR="00704894" w:rsidRPr="00D13496">
        <w:rPr>
          <w:rFonts w:ascii="Arial" w:hAnsi="Arial" w:cs="Arial"/>
          <w:sz w:val="20"/>
          <w:szCs w:val="20"/>
        </w:rPr>
        <w:t xml:space="preserve"> </w:t>
      </w:r>
      <w:r w:rsidR="00464D3A" w:rsidRPr="00D13496">
        <w:rPr>
          <w:rFonts w:ascii="Arial" w:hAnsi="Arial" w:cs="Arial"/>
          <w:sz w:val="20"/>
          <w:szCs w:val="20"/>
        </w:rPr>
        <w:t>indeksom cen življenjskih potrebščin</w:t>
      </w:r>
      <w:r w:rsidR="001E2735" w:rsidRPr="00D13496">
        <w:rPr>
          <w:rFonts w:ascii="Arial" w:hAnsi="Arial" w:cs="Arial"/>
          <w:sz w:val="20"/>
          <w:szCs w:val="20"/>
        </w:rPr>
        <w:t>,</w:t>
      </w:r>
      <w:r w:rsidR="00464D3A" w:rsidRPr="00D13496">
        <w:rPr>
          <w:rFonts w:ascii="Arial" w:hAnsi="Arial" w:cs="Arial"/>
          <w:sz w:val="20"/>
          <w:szCs w:val="20"/>
        </w:rPr>
        <w:t xml:space="preserve"> za </w:t>
      </w:r>
      <w:r w:rsidR="00072D68" w:rsidRPr="00D13496">
        <w:rPr>
          <w:rFonts w:ascii="Arial" w:hAnsi="Arial" w:cs="Arial"/>
          <w:sz w:val="20"/>
          <w:szCs w:val="20"/>
        </w:rPr>
        <w:t>približno</w:t>
      </w:r>
      <w:r w:rsidR="00704894" w:rsidRPr="00D13496">
        <w:rPr>
          <w:rFonts w:ascii="Arial" w:hAnsi="Arial" w:cs="Arial"/>
          <w:sz w:val="20"/>
          <w:szCs w:val="20"/>
        </w:rPr>
        <w:t xml:space="preserve"> 2 odstotni točki. Ocena učinkov UMAR na strani znižanih davkov in dajatev upošteva znižanje </w:t>
      </w:r>
      <w:r w:rsidR="00464D3A" w:rsidRPr="00D13496">
        <w:rPr>
          <w:rFonts w:ascii="Arial" w:hAnsi="Arial" w:cs="Arial"/>
          <w:sz w:val="20"/>
          <w:szCs w:val="20"/>
        </w:rPr>
        <w:t>davka na dodano vrednost</w:t>
      </w:r>
      <w:r w:rsidR="00704894" w:rsidRPr="00D13496">
        <w:rPr>
          <w:rFonts w:ascii="Arial" w:hAnsi="Arial" w:cs="Arial"/>
          <w:sz w:val="20"/>
          <w:szCs w:val="20"/>
        </w:rPr>
        <w:t xml:space="preserve"> na električno energijo, zemeljski plin, daljinsko ogrevanje in lesno biomaso, ukinjeno obveznost plačevanja </w:t>
      </w:r>
      <w:proofErr w:type="spellStart"/>
      <w:r w:rsidR="00704894" w:rsidRPr="00D13496">
        <w:rPr>
          <w:rFonts w:ascii="Arial" w:hAnsi="Arial" w:cs="Arial"/>
          <w:sz w:val="20"/>
          <w:szCs w:val="20"/>
        </w:rPr>
        <w:t>okoljske</w:t>
      </w:r>
      <w:proofErr w:type="spellEnd"/>
      <w:r w:rsidR="00704894" w:rsidRPr="00D13496">
        <w:rPr>
          <w:rFonts w:ascii="Arial" w:hAnsi="Arial" w:cs="Arial"/>
          <w:sz w:val="20"/>
          <w:szCs w:val="20"/>
        </w:rPr>
        <w:t xml:space="preserve"> dajatve za fosilna goriva, nižje trošarine za energijo ter modelsko regulacijo cen pogonskih goriv in regulacijo cen plina, elektrike in kurilnega olja.</w:t>
      </w:r>
    </w:p>
    <w:p w14:paraId="169AE898" w14:textId="3D3CF8DC" w:rsidR="00704894" w:rsidRPr="00D13496" w:rsidRDefault="00246302" w:rsidP="00246302">
      <w:pPr>
        <w:jc w:val="both"/>
        <w:rPr>
          <w:rFonts w:ascii="Arial" w:hAnsi="Arial" w:cs="Arial"/>
          <w:sz w:val="20"/>
          <w:szCs w:val="20"/>
        </w:rPr>
      </w:pPr>
      <w:r w:rsidRPr="00D13496">
        <w:rPr>
          <w:rFonts w:ascii="Arial" w:hAnsi="Arial" w:cs="Arial"/>
          <w:sz w:val="20"/>
          <w:szCs w:val="20"/>
        </w:rPr>
        <w:lastRenderedPageBreak/>
        <w:t>V skladu z UMAR Pomladansko napovedjo 2023 se bo inflacija letos postopoma umirila, vendar bo v povprečju leta znašala 7,1 %, predvsem zaradi visoke stopnje rasti cen življenjskih potrebščin v prvem polletju. Letna inflacija (HICP) se je med januarjem in marcem 2023 v Sloveniji gibala okoli 10 %, medtem ko se je v povprečju evrskega območja v marcu 2023 znižala na 6,9 %. S tem se je razlika med inflacijo v Sloveniji in evrskim območjem povišala z 0,9 odstotne točke (</w:t>
      </w:r>
      <w:r w:rsidR="001604C1" w:rsidRPr="00D13496">
        <w:rPr>
          <w:rFonts w:ascii="Arial" w:hAnsi="Arial" w:cs="Arial"/>
          <w:sz w:val="20"/>
          <w:szCs w:val="20"/>
        </w:rPr>
        <w:t xml:space="preserve">v nadaljnjem besedilu: </w:t>
      </w:r>
      <w:r w:rsidRPr="00D13496">
        <w:rPr>
          <w:rFonts w:ascii="Arial" w:hAnsi="Arial" w:cs="Arial"/>
          <w:sz w:val="20"/>
          <w:szCs w:val="20"/>
        </w:rPr>
        <w:t xml:space="preserve">o. t.) v februarju na 3,5 o.t. v marcu, k čimer je pomembno prispevala nižja osnova iz preteklega leta, ko je vlada z oprostitvijo nekaterih prispevkov in dajatev znižala ceno električne energije. To je kljub mesečni pocenitvi (za 0,8 %) na medletni ravni povišalo rast cen energentov iz februarskih 7,6 na 13,5 % v marcu, medtem ko so se njihove cene v evrskem območju medletno že znižale (za 0,9 %). Cena električne energije (kljub temu, da je bila na enaki ravni kot februarja) je bila tako marca medletno višja za skoraj polovico, medtem ko je bila še februarja njena cena na medletni ravni nižja za skoraj desetino. K slovenski inflaciji bodo še naprej pomembno prispevale višje cene storitev in hrane, prispevek cen energentov pa naj bi se letos v odsotnosti od zunanjih šokov v povprečju leta zmanjšal, prav tako naj bi se postopoma umirjala tudi rast cen </w:t>
      </w:r>
      <w:proofErr w:type="spellStart"/>
      <w:r w:rsidRPr="00D13496">
        <w:rPr>
          <w:rFonts w:ascii="Arial" w:hAnsi="Arial" w:cs="Arial"/>
          <w:sz w:val="20"/>
          <w:szCs w:val="20"/>
        </w:rPr>
        <w:t>neenergetskega</w:t>
      </w:r>
      <w:proofErr w:type="spellEnd"/>
      <w:r w:rsidRPr="00D13496">
        <w:rPr>
          <w:rFonts w:ascii="Arial" w:hAnsi="Arial" w:cs="Arial"/>
          <w:sz w:val="20"/>
          <w:szCs w:val="20"/>
        </w:rPr>
        <w:t xml:space="preserve"> industrijskega blaga. UMAR ocenjuje, da se bo inflacija postopoma znižala proti 2 % šele po letu 2024.</w:t>
      </w:r>
    </w:p>
    <w:p w14:paraId="7704FDCA" w14:textId="77777777" w:rsidR="00246302" w:rsidRPr="00D13496" w:rsidRDefault="00246302" w:rsidP="007D5FB5">
      <w:pPr>
        <w:spacing w:after="0"/>
        <w:jc w:val="both"/>
        <w:rPr>
          <w:rFonts w:ascii="Arial" w:hAnsi="Arial" w:cs="Arial"/>
          <w:sz w:val="20"/>
          <w:szCs w:val="20"/>
        </w:rPr>
      </w:pPr>
      <w:r w:rsidRPr="00D13496">
        <w:rPr>
          <w:rFonts w:ascii="Arial" w:hAnsi="Arial" w:cs="Arial"/>
          <w:sz w:val="20"/>
          <w:szCs w:val="20"/>
        </w:rPr>
        <w:t>Tabela 1: Primerjava makroekonomskih napovedi za Slovenijo</w:t>
      </w:r>
    </w:p>
    <w:tbl>
      <w:tblPr>
        <w:tblW w:w="9771" w:type="dxa"/>
        <w:jc w:val="center"/>
        <w:tblLayout w:type="fixed"/>
        <w:tblCellMar>
          <w:left w:w="0" w:type="dxa"/>
          <w:right w:w="0" w:type="dxa"/>
        </w:tblCellMar>
        <w:tblLook w:val="04A0" w:firstRow="1" w:lastRow="0" w:firstColumn="1" w:lastColumn="0" w:noHBand="0" w:noVBand="1"/>
      </w:tblPr>
      <w:tblGrid>
        <w:gridCol w:w="1051"/>
        <w:gridCol w:w="414"/>
        <w:gridCol w:w="379"/>
        <w:gridCol w:w="387"/>
        <w:gridCol w:w="503"/>
        <w:gridCol w:w="390"/>
        <w:gridCol w:w="368"/>
        <w:gridCol w:w="368"/>
        <w:gridCol w:w="325"/>
        <w:gridCol w:w="368"/>
        <w:gridCol w:w="378"/>
        <w:gridCol w:w="362"/>
        <w:gridCol w:w="394"/>
        <w:gridCol w:w="394"/>
        <w:gridCol w:w="395"/>
        <w:gridCol w:w="400"/>
        <w:gridCol w:w="484"/>
        <w:gridCol w:w="394"/>
        <w:gridCol w:w="458"/>
        <w:gridCol w:w="332"/>
        <w:gridCol w:w="394"/>
        <w:gridCol w:w="394"/>
        <w:gridCol w:w="439"/>
      </w:tblGrid>
      <w:tr w:rsidR="00246302" w:rsidRPr="00F14868" w14:paraId="096732B7" w14:textId="77777777" w:rsidTr="00206F16">
        <w:trPr>
          <w:trHeight w:val="50"/>
          <w:jc w:val="center"/>
        </w:trPr>
        <w:tc>
          <w:tcPr>
            <w:tcW w:w="1051" w:type="dxa"/>
            <w:tcBorders>
              <w:top w:val="single" w:sz="8" w:space="0" w:color="auto"/>
              <w:left w:val="single" w:sz="8" w:space="0" w:color="auto"/>
              <w:bottom w:val="single" w:sz="8" w:space="0" w:color="000000"/>
              <w:right w:val="single" w:sz="8" w:space="0" w:color="auto"/>
            </w:tcBorders>
            <w:shd w:val="clear" w:color="auto" w:fill="auto"/>
            <w:tcMar>
              <w:top w:w="0" w:type="dxa"/>
              <w:left w:w="70" w:type="dxa"/>
              <w:bottom w:w="0" w:type="dxa"/>
              <w:right w:w="70" w:type="dxa"/>
            </w:tcMar>
            <w:vAlign w:val="center"/>
            <w:hideMark/>
          </w:tcPr>
          <w:p w14:paraId="15891C61"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bookmarkStart w:id="2" w:name="_Hlk105748830"/>
            <w:r w:rsidRPr="00482C72">
              <w:rPr>
                <w:rFonts w:ascii="Calibri" w:eastAsia="Times New Roman" w:hAnsi="Calibri" w:cs="Calibri"/>
                <w:color w:val="000000"/>
                <w:sz w:val="18"/>
                <w:szCs w:val="18"/>
                <w:lang w:eastAsia="sl-SI"/>
              </w:rPr>
              <w:t>realne stopnje rasti (%)</w:t>
            </w:r>
          </w:p>
        </w:tc>
        <w:tc>
          <w:tcPr>
            <w:tcW w:w="1180" w:type="dxa"/>
            <w:gridSpan w:val="3"/>
            <w:tcBorders>
              <w:top w:val="single" w:sz="8" w:space="0" w:color="auto"/>
              <w:left w:val="nil"/>
              <w:bottom w:val="single" w:sz="4" w:space="0" w:color="auto"/>
              <w:right w:val="single" w:sz="8" w:space="0" w:color="000000"/>
            </w:tcBorders>
            <w:shd w:val="clear" w:color="auto" w:fill="auto"/>
            <w:vAlign w:val="center"/>
          </w:tcPr>
          <w:p w14:paraId="48128197" w14:textId="77777777" w:rsidR="00246302" w:rsidRPr="00482C72" w:rsidRDefault="00246302" w:rsidP="00206F16">
            <w:pPr>
              <w:spacing w:after="0" w:line="240" w:lineRule="auto"/>
              <w:jc w:val="center"/>
              <w:rPr>
                <w:rFonts w:ascii="Calibri" w:eastAsia="Times New Roman" w:hAnsi="Calibri" w:cs="Calibri"/>
                <w:color w:val="000000"/>
                <w:sz w:val="18"/>
                <w:szCs w:val="18"/>
                <w:lang w:eastAsia="sl-SI"/>
              </w:rPr>
            </w:pPr>
            <w:r w:rsidRPr="00482C72">
              <w:rPr>
                <w:rFonts w:ascii="Calibri" w:eastAsia="Times New Roman" w:hAnsi="Calibri" w:cs="Calibri"/>
                <w:color w:val="000000"/>
                <w:sz w:val="18"/>
                <w:szCs w:val="18"/>
                <w:lang w:eastAsia="sl-SI"/>
              </w:rPr>
              <w:t>UMAR,</w:t>
            </w:r>
          </w:p>
          <w:p w14:paraId="09025B38" w14:textId="77777777" w:rsidR="00246302" w:rsidRPr="00482C72" w:rsidRDefault="00246302" w:rsidP="00206F16">
            <w:pPr>
              <w:spacing w:after="0" w:line="240" w:lineRule="auto"/>
              <w:jc w:val="center"/>
              <w:rPr>
                <w:rFonts w:ascii="Calibri" w:eastAsia="Times New Roman" w:hAnsi="Calibri" w:cs="Calibri"/>
                <w:color w:val="000000"/>
                <w:sz w:val="18"/>
                <w:szCs w:val="18"/>
                <w:lang w:eastAsia="sl-SI"/>
              </w:rPr>
            </w:pPr>
            <w:r w:rsidRPr="00482C72">
              <w:rPr>
                <w:rFonts w:ascii="Calibri" w:eastAsia="Times New Roman" w:hAnsi="Calibri" w:cs="Calibri"/>
                <w:color w:val="000000"/>
                <w:sz w:val="18"/>
                <w:szCs w:val="18"/>
                <w:lang w:eastAsia="sl-SI"/>
              </w:rPr>
              <w:t>september</w:t>
            </w:r>
          </w:p>
          <w:p w14:paraId="3A723342"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2022</w:t>
            </w:r>
          </w:p>
        </w:tc>
        <w:tc>
          <w:tcPr>
            <w:tcW w:w="893" w:type="dxa"/>
            <w:gridSpan w:val="2"/>
            <w:tcBorders>
              <w:top w:val="single" w:sz="8" w:space="0" w:color="auto"/>
              <w:left w:val="nil"/>
              <w:bottom w:val="single" w:sz="4" w:space="0" w:color="auto"/>
              <w:right w:val="single" w:sz="8" w:space="0" w:color="000000"/>
            </w:tcBorders>
            <w:shd w:val="clear" w:color="auto" w:fill="auto"/>
            <w:vAlign w:val="center"/>
          </w:tcPr>
          <w:p w14:paraId="4A25427E"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IMF,</w:t>
            </w:r>
          </w:p>
          <w:p w14:paraId="1274BB9C"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482C72">
              <w:rPr>
                <w:rFonts w:ascii="Calibri" w:eastAsia="Times New Roman" w:hAnsi="Calibri" w:cs="Calibri"/>
                <w:color w:val="000000"/>
                <w:sz w:val="18"/>
                <w:szCs w:val="18"/>
                <w:lang w:eastAsia="sl-SI"/>
              </w:rPr>
              <w:t>oktober</w:t>
            </w:r>
            <w:r w:rsidRPr="00F14868">
              <w:rPr>
                <w:rFonts w:ascii="Calibri" w:eastAsia="Times New Roman" w:hAnsi="Calibri" w:cs="Calibri"/>
                <w:color w:val="000000"/>
                <w:sz w:val="18"/>
                <w:szCs w:val="18"/>
                <w:lang w:eastAsia="sl-SI"/>
              </w:rPr>
              <w:t xml:space="preserve"> </w:t>
            </w:r>
            <w:r w:rsidRPr="00F14868">
              <w:rPr>
                <w:rFonts w:ascii="Calibri" w:eastAsia="Times New Roman" w:hAnsi="Calibri" w:cs="Calibri"/>
                <w:color w:val="000000"/>
                <w:sz w:val="18"/>
                <w:szCs w:val="18"/>
                <w:lang w:eastAsia="sl-SI"/>
              </w:rPr>
              <w:br/>
              <w:t>2022</w:t>
            </w:r>
          </w:p>
        </w:tc>
        <w:tc>
          <w:tcPr>
            <w:tcW w:w="1061" w:type="dxa"/>
            <w:gridSpan w:val="3"/>
            <w:tcBorders>
              <w:top w:val="single" w:sz="8" w:space="0" w:color="auto"/>
              <w:left w:val="nil"/>
              <w:bottom w:val="single" w:sz="4" w:space="0" w:color="auto"/>
              <w:right w:val="single" w:sz="8" w:space="0" w:color="000000"/>
            </w:tcBorders>
            <w:shd w:val="clear" w:color="auto" w:fill="auto"/>
            <w:vAlign w:val="center"/>
          </w:tcPr>
          <w:p w14:paraId="234E0F5D" w14:textId="77777777" w:rsidR="00246302" w:rsidRPr="00482C72" w:rsidRDefault="00246302" w:rsidP="00206F16">
            <w:pPr>
              <w:spacing w:after="0" w:line="240" w:lineRule="auto"/>
              <w:jc w:val="center"/>
              <w:rPr>
                <w:rFonts w:ascii="Calibri" w:eastAsia="Times New Roman" w:hAnsi="Calibri" w:cs="Calibri"/>
                <w:color w:val="000000"/>
                <w:sz w:val="18"/>
                <w:szCs w:val="18"/>
                <w:lang w:eastAsia="sl-SI"/>
              </w:rPr>
            </w:pPr>
            <w:r w:rsidRPr="00482C72">
              <w:rPr>
                <w:rFonts w:ascii="Calibri" w:eastAsia="Times New Roman" w:hAnsi="Calibri" w:cs="Calibri"/>
                <w:color w:val="000000"/>
                <w:sz w:val="18"/>
                <w:szCs w:val="18"/>
                <w:lang w:eastAsia="sl-SI"/>
              </w:rPr>
              <w:t>EK,</w:t>
            </w:r>
          </w:p>
          <w:p w14:paraId="04B02566"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482C72">
              <w:rPr>
                <w:rFonts w:ascii="Calibri" w:eastAsia="Times New Roman" w:hAnsi="Calibri" w:cs="Calibri"/>
                <w:color w:val="000000"/>
                <w:sz w:val="18"/>
                <w:szCs w:val="18"/>
                <w:lang w:eastAsia="sl-SI"/>
              </w:rPr>
              <w:t>november</w:t>
            </w:r>
          </w:p>
          <w:p w14:paraId="74977FE3"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2022</w:t>
            </w:r>
          </w:p>
        </w:tc>
        <w:tc>
          <w:tcPr>
            <w:tcW w:w="1108" w:type="dxa"/>
            <w:gridSpan w:val="3"/>
            <w:tcBorders>
              <w:top w:val="single" w:sz="8" w:space="0" w:color="auto"/>
              <w:left w:val="nil"/>
              <w:bottom w:val="single" w:sz="4" w:space="0" w:color="auto"/>
              <w:right w:val="single" w:sz="8" w:space="0" w:color="000000"/>
            </w:tcBorders>
            <w:shd w:val="clear" w:color="auto" w:fill="auto"/>
            <w:vAlign w:val="center"/>
          </w:tcPr>
          <w:p w14:paraId="73120C64" w14:textId="77777777" w:rsidR="00246302" w:rsidRPr="00482C72" w:rsidRDefault="00246302" w:rsidP="00206F16">
            <w:pPr>
              <w:spacing w:after="0" w:line="240" w:lineRule="auto"/>
              <w:jc w:val="center"/>
              <w:rPr>
                <w:rFonts w:ascii="Calibri" w:eastAsia="Times New Roman" w:hAnsi="Calibri" w:cs="Calibri"/>
                <w:sz w:val="18"/>
                <w:szCs w:val="18"/>
                <w:lang w:eastAsia="sl-SI"/>
              </w:rPr>
            </w:pPr>
            <w:r w:rsidRPr="00F14868">
              <w:rPr>
                <w:rFonts w:ascii="Calibri" w:eastAsia="Times New Roman" w:hAnsi="Calibri" w:cs="Calibri"/>
                <w:sz w:val="18"/>
                <w:szCs w:val="18"/>
                <w:lang w:eastAsia="sl-SI"/>
              </w:rPr>
              <w:t>OECD,</w:t>
            </w:r>
          </w:p>
          <w:p w14:paraId="16724BF2" w14:textId="77777777" w:rsidR="00246302" w:rsidRPr="00482C72" w:rsidRDefault="00246302" w:rsidP="00206F16">
            <w:pPr>
              <w:spacing w:after="0" w:line="240" w:lineRule="auto"/>
              <w:jc w:val="center"/>
              <w:rPr>
                <w:rFonts w:ascii="Calibri" w:eastAsia="Times New Roman" w:hAnsi="Calibri" w:cs="Calibri"/>
                <w:sz w:val="18"/>
                <w:szCs w:val="18"/>
                <w:lang w:eastAsia="sl-SI"/>
              </w:rPr>
            </w:pPr>
            <w:r w:rsidRPr="00482C72">
              <w:rPr>
                <w:rFonts w:ascii="Calibri" w:eastAsia="Times New Roman" w:hAnsi="Calibri" w:cs="Calibri"/>
                <w:sz w:val="18"/>
                <w:szCs w:val="18"/>
                <w:lang w:eastAsia="sl-SI"/>
              </w:rPr>
              <w:t>november</w:t>
            </w:r>
          </w:p>
          <w:p w14:paraId="39D840E1" w14:textId="77777777" w:rsidR="00246302" w:rsidRPr="00F14868" w:rsidRDefault="00246302" w:rsidP="00206F16">
            <w:pPr>
              <w:spacing w:after="0" w:line="240" w:lineRule="auto"/>
              <w:jc w:val="center"/>
              <w:rPr>
                <w:rFonts w:ascii="Calibri" w:eastAsia="Times New Roman" w:hAnsi="Calibri" w:cs="Calibri"/>
                <w:color w:val="FF0000"/>
                <w:sz w:val="18"/>
                <w:szCs w:val="18"/>
                <w:lang w:eastAsia="sl-SI"/>
              </w:rPr>
            </w:pPr>
            <w:r w:rsidRPr="00F14868">
              <w:rPr>
                <w:rFonts w:ascii="Calibri" w:eastAsia="Times New Roman" w:hAnsi="Calibri" w:cs="Calibri"/>
                <w:sz w:val="18"/>
                <w:szCs w:val="18"/>
                <w:lang w:eastAsia="sl-SI"/>
              </w:rPr>
              <w:t>2022</w:t>
            </w:r>
          </w:p>
        </w:tc>
        <w:tc>
          <w:tcPr>
            <w:tcW w:w="1583" w:type="dxa"/>
            <w:gridSpan w:val="4"/>
            <w:tcBorders>
              <w:top w:val="single" w:sz="8" w:space="0" w:color="auto"/>
              <w:left w:val="nil"/>
              <w:bottom w:val="single" w:sz="4" w:space="0" w:color="auto"/>
              <w:right w:val="single" w:sz="8" w:space="0" w:color="000000"/>
            </w:tcBorders>
            <w:shd w:val="clear" w:color="auto" w:fill="auto"/>
            <w:vAlign w:val="center"/>
          </w:tcPr>
          <w:p w14:paraId="383DD9E5"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482C72">
              <w:rPr>
                <w:rFonts w:ascii="Calibri" w:eastAsia="Times New Roman" w:hAnsi="Calibri" w:cs="Calibri"/>
                <w:color w:val="000000"/>
                <w:sz w:val="18"/>
                <w:szCs w:val="18"/>
                <w:lang w:eastAsia="sl-SI"/>
              </w:rPr>
              <w:t>BS,</w:t>
            </w:r>
          </w:p>
          <w:p w14:paraId="37DCFE15"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482C72">
              <w:rPr>
                <w:rFonts w:ascii="Calibri" w:eastAsia="Times New Roman" w:hAnsi="Calibri" w:cs="Calibri"/>
                <w:color w:val="000000"/>
                <w:sz w:val="18"/>
                <w:szCs w:val="18"/>
                <w:lang w:eastAsia="sl-SI"/>
              </w:rPr>
              <w:t>d</w:t>
            </w:r>
            <w:r w:rsidRPr="00F14868">
              <w:rPr>
                <w:rFonts w:ascii="Calibri" w:eastAsia="Times New Roman" w:hAnsi="Calibri" w:cs="Calibri"/>
                <w:color w:val="000000"/>
                <w:sz w:val="18"/>
                <w:szCs w:val="18"/>
                <w:lang w:eastAsia="sl-SI"/>
              </w:rPr>
              <w:t>ecember</w:t>
            </w:r>
          </w:p>
          <w:p w14:paraId="340C47F1"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2022</w:t>
            </w:r>
          </w:p>
        </w:tc>
        <w:tc>
          <w:tcPr>
            <w:tcW w:w="1668" w:type="dxa"/>
            <w:gridSpan w:val="4"/>
            <w:tcBorders>
              <w:top w:val="single" w:sz="8" w:space="0" w:color="auto"/>
              <w:left w:val="nil"/>
              <w:bottom w:val="single" w:sz="4" w:space="0" w:color="auto"/>
              <w:right w:val="single" w:sz="8" w:space="0" w:color="000000"/>
            </w:tcBorders>
            <w:shd w:val="clear" w:color="auto" w:fill="auto"/>
            <w:vAlign w:val="center"/>
          </w:tcPr>
          <w:p w14:paraId="5630B9FF" w14:textId="77777777" w:rsidR="00246302" w:rsidRPr="00482C72" w:rsidRDefault="00246302" w:rsidP="00206F16">
            <w:pPr>
              <w:spacing w:after="0" w:line="240" w:lineRule="auto"/>
              <w:jc w:val="center"/>
              <w:rPr>
                <w:rFonts w:ascii="Calibri" w:eastAsia="Times New Roman" w:hAnsi="Calibri" w:cs="Calibri"/>
                <w:color w:val="000000"/>
                <w:sz w:val="18"/>
                <w:szCs w:val="18"/>
                <w:lang w:eastAsia="sl-SI"/>
              </w:rPr>
            </w:pPr>
            <w:r w:rsidRPr="00482C72">
              <w:rPr>
                <w:rFonts w:ascii="Calibri" w:eastAsia="Times New Roman" w:hAnsi="Calibri" w:cs="Calibri"/>
                <w:color w:val="000000"/>
                <w:sz w:val="18"/>
                <w:szCs w:val="18"/>
                <w:lang w:eastAsia="sl-SI"/>
              </w:rPr>
              <w:t>UMAR,</w:t>
            </w:r>
          </w:p>
          <w:p w14:paraId="265C567D"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482C72">
              <w:rPr>
                <w:rFonts w:ascii="Calibri" w:eastAsia="Times New Roman" w:hAnsi="Calibri" w:cs="Calibri"/>
                <w:color w:val="000000"/>
                <w:sz w:val="18"/>
                <w:szCs w:val="18"/>
                <w:lang w:eastAsia="sl-SI"/>
              </w:rPr>
              <w:t>marec</w:t>
            </w:r>
          </w:p>
          <w:p w14:paraId="3F6EADA3"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2023</w:t>
            </w:r>
          </w:p>
        </w:tc>
        <w:tc>
          <w:tcPr>
            <w:tcW w:w="1227" w:type="dxa"/>
            <w:gridSpan w:val="3"/>
            <w:tcBorders>
              <w:top w:val="single" w:sz="8" w:space="0" w:color="auto"/>
              <w:left w:val="nil"/>
              <w:bottom w:val="single" w:sz="4" w:space="0" w:color="auto"/>
              <w:right w:val="single" w:sz="8" w:space="0" w:color="000000"/>
            </w:tcBorders>
            <w:shd w:val="clear" w:color="auto" w:fill="auto"/>
            <w:vAlign w:val="center"/>
          </w:tcPr>
          <w:p w14:paraId="140810D9"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IMF</w:t>
            </w:r>
            <w:r w:rsidRPr="00482C72">
              <w:rPr>
                <w:rFonts w:ascii="Calibri" w:eastAsia="Times New Roman" w:hAnsi="Calibri" w:cs="Calibri"/>
                <w:color w:val="000000"/>
                <w:sz w:val="18"/>
                <w:szCs w:val="18"/>
                <w:lang w:eastAsia="sl-SI"/>
              </w:rPr>
              <w:t>,</w:t>
            </w:r>
          </w:p>
          <w:p w14:paraId="147B0504"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482C72">
              <w:rPr>
                <w:rFonts w:ascii="Calibri" w:eastAsia="Times New Roman" w:hAnsi="Calibri" w:cs="Calibri"/>
                <w:color w:val="000000"/>
                <w:sz w:val="18"/>
                <w:szCs w:val="18"/>
                <w:lang w:eastAsia="sl-SI"/>
              </w:rPr>
              <w:t>april</w:t>
            </w:r>
          </w:p>
          <w:p w14:paraId="4E7C1610"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2023</w:t>
            </w:r>
          </w:p>
        </w:tc>
      </w:tr>
      <w:tr w:rsidR="00246302" w:rsidRPr="00F14868" w14:paraId="36B70B03" w14:textId="77777777" w:rsidTr="00206F16">
        <w:trPr>
          <w:trHeight w:val="50"/>
          <w:jc w:val="center"/>
        </w:trPr>
        <w:tc>
          <w:tcPr>
            <w:tcW w:w="105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57115438" w14:textId="77777777" w:rsidR="00246302" w:rsidRPr="00F14868" w:rsidRDefault="00246302" w:rsidP="00206F16">
            <w:pPr>
              <w:spacing w:after="0" w:line="240" w:lineRule="auto"/>
              <w:jc w:val="both"/>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 </w:t>
            </w:r>
          </w:p>
        </w:tc>
        <w:tc>
          <w:tcPr>
            <w:tcW w:w="414" w:type="dxa"/>
            <w:tcBorders>
              <w:top w:val="nil"/>
              <w:left w:val="nil"/>
              <w:bottom w:val="single" w:sz="8" w:space="0" w:color="auto"/>
              <w:right w:val="single" w:sz="8" w:space="0" w:color="auto"/>
            </w:tcBorders>
            <w:shd w:val="clear" w:color="auto" w:fill="auto"/>
            <w:vAlign w:val="center"/>
          </w:tcPr>
          <w:p w14:paraId="4ED8DBF5" w14:textId="77777777" w:rsidR="00246302" w:rsidRPr="00F14868" w:rsidRDefault="00246302" w:rsidP="00206F16">
            <w:pPr>
              <w:spacing w:after="0" w:line="240" w:lineRule="auto"/>
              <w:jc w:val="center"/>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22</w:t>
            </w:r>
          </w:p>
        </w:tc>
        <w:tc>
          <w:tcPr>
            <w:tcW w:w="379" w:type="dxa"/>
            <w:tcBorders>
              <w:top w:val="nil"/>
              <w:left w:val="nil"/>
              <w:bottom w:val="single" w:sz="8" w:space="0" w:color="auto"/>
              <w:right w:val="single" w:sz="8" w:space="0" w:color="auto"/>
            </w:tcBorders>
            <w:shd w:val="clear" w:color="auto" w:fill="auto"/>
            <w:vAlign w:val="center"/>
          </w:tcPr>
          <w:p w14:paraId="707B2A41" w14:textId="77777777" w:rsidR="00246302" w:rsidRPr="00F14868" w:rsidRDefault="00246302" w:rsidP="00206F16">
            <w:pPr>
              <w:spacing w:after="0" w:line="240" w:lineRule="auto"/>
              <w:jc w:val="center"/>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23</w:t>
            </w:r>
          </w:p>
        </w:tc>
        <w:tc>
          <w:tcPr>
            <w:tcW w:w="387" w:type="dxa"/>
            <w:tcBorders>
              <w:top w:val="nil"/>
              <w:left w:val="nil"/>
              <w:bottom w:val="single" w:sz="8" w:space="0" w:color="auto"/>
              <w:right w:val="single" w:sz="8" w:space="0" w:color="auto"/>
            </w:tcBorders>
            <w:shd w:val="clear" w:color="auto" w:fill="auto"/>
            <w:vAlign w:val="center"/>
          </w:tcPr>
          <w:p w14:paraId="4011012A" w14:textId="77777777" w:rsidR="00246302" w:rsidRPr="00F14868" w:rsidRDefault="00246302" w:rsidP="00206F16">
            <w:pPr>
              <w:spacing w:after="0" w:line="240" w:lineRule="auto"/>
              <w:jc w:val="center"/>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24</w:t>
            </w:r>
          </w:p>
        </w:tc>
        <w:tc>
          <w:tcPr>
            <w:tcW w:w="503" w:type="dxa"/>
            <w:tcBorders>
              <w:top w:val="nil"/>
              <w:left w:val="nil"/>
              <w:bottom w:val="single" w:sz="8" w:space="0" w:color="auto"/>
              <w:right w:val="single" w:sz="8" w:space="0" w:color="auto"/>
            </w:tcBorders>
            <w:shd w:val="clear" w:color="auto" w:fill="auto"/>
            <w:vAlign w:val="center"/>
          </w:tcPr>
          <w:p w14:paraId="67668458" w14:textId="77777777" w:rsidR="00246302" w:rsidRPr="00F14868" w:rsidRDefault="00246302" w:rsidP="00206F16">
            <w:pPr>
              <w:spacing w:after="0" w:line="240" w:lineRule="auto"/>
              <w:jc w:val="center"/>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22</w:t>
            </w:r>
          </w:p>
        </w:tc>
        <w:tc>
          <w:tcPr>
            <w:tcW w:w="390" w:type="dxa"/>
            <w:tcBorders>
              <w:top w:val="nil"/>
              <w:left w:val="nil"/>
              <w:bottom w:val="single" w:sz="8" w:space="0" w:color="auto"/>
              <w:right w:val="single" w:sz="8" w:space="0" w:color="auto"/>
            </w:tcBorders>
            <w:shd w:val="clear" w:color="auto" w:fill="auto"/>
            <w:vAlign w:val="center"/>
          </w:tcPr>
          <w:p w14:paraId="62F006DF" w14:textId="77777777" w:rsidR="00246302" w:rsidRPr="00F14868" w:rsidRDefault="00246302" w:rsidP="00206F16">
            <w:pPr>
              <w:spacing w:after="0" w:line="240" w:lineRule="auto"/>
              <w:jc w:val="center"/>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23</w:t>
            </w:r>
          </w:p>
        </w:tc>
        <w:tc>
          <w:tcPr>
            <w:tcW w:w="368" w:type="dxa"/>
            <w:tcBorders>
              <w:top w:val="nil"/>
              <w:left w:val="nil"/>
              <w:bottom w:val="single" w:sz="8" w:space="0" w:color="auto"/>
              <w:right w:val="single" w:sz="8" w:space="0" w:color="auto"/>
            </w:tcBorders>
            <w:shd w:val="clear" w:color="auto" w:fill="auto"/>
            <w:vAlign w:val="center"/>
          </w:tcPr>
          <w:p w14:paraId="2D449039" w14:textId="77777777" w:rsidR="00246302" w:rsidRPr="00F14868" w:rsidRDefault="00246302" w:rsidP="00206F16">
            <w:pPr>
              <w:spacing w:after="0" w:line="240" w:lineRule="auto"/>
              <w:jc w:val="center"/>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22</w:t>
            </w:r>
          </w:p>
        </w:tc>
        <w:tc>
          <w:tcPr>
            <w:tcW w:w="368" w:type="dxa"/>
            <w:tcBorders>
              <w:top w:val="nil"/>
              <w:left w:val="nil"/>
              <w:bottom w:val="single" w:sz="8" w:space="0" w:color="auto"/>
              <w:right w:val="single" w:sz="8" w:space="0" w:color="auto"/>
            </w:tcBorders>
            <w:shd w:val="clear" w:color="auto" w:fill="auto"/>
            <w:vAlign w:val="center"/>
          </w:tcPr>
          <w:p w14:paraId="3A5DB42C" w14:textId="77777777" w:rsidR="00246302" w:rsidRPr="00F14868" w:rsidRDefault="00246302" w:rsidP="00206F16">
            <w:pPr>
              <w:spacing w:after="0" w:line="240" w:lineRule="auto"/>
              <w:jc w:val="center"/>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23</w:t>
            </w:r>
          </w:p>
        </w:tc>
        <w:tc>
          <w:tcPr>
            <w:tcW w:w="325" w:type="dxa"/>
            <w:tcBorders>
              <w:top w:val="nil"/>
              <w:left w:val="nil"/>
              <w:bottom w:val="single" w:sz="8" w:space="0" w:color="auto"/>
              <w:right w:val="single" w:sz="8" w:space="0" w:color="auto"/>
            </w:tcBorders>
            <w:shd w:val="clear" w:color="auto" w:fill="auto"/>
            <w:vAlign w:val="center"/>
          </w:tcPr>
          <w:p w14:paraId="37D5D12E" w14:textId="77777777" w:rsidR="00246302" w:rsidRPr="00F14868" w:rsidRDefault="00246302" w:rsidP="00206F16">
            <w:pPr>
              <w:spacing w:after="0" w:line="240" w:lineRule="auto"/>
              <w:jc w:val="center"/>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24</w:t>
            </w:r>
          </w:p>
        </w:tc>
        <w:tc>
          <w:tcPr>
            <w:tcW w:w="368" w:type="dxa"/>
            <w:tcBorders>
              <w:top w:val="nil"/>
              <w:left w:val="nil"/>
              <w:bottom w:val="single" w:sz="8" w:space="0" w:color="auto"/>
              <w:right w:val="single" w:sz="8" w:space="0" w:color="auto"/>
            </w:tcBorders>
            <w:shd w:val="clear" w:color="auto" w:fill="auto"/>
            <w:vAlign w:val="center"/>
          </w:tcPr>
          <w:p w14:paraId="20C69958" w14:textId="77777777" w:rsidR="00246302" w:rsidRPr="00F14868" w:rsidRDefault="00246302" w:rsidP="00206F16">
            <w:pPr>
              <w:spacing w:after="0" w:line="240" w:lineRule="auto"/>
              <w:jc w:val="center"/>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22</w:t>
            </w:r>
          </w:p>
        </w:tc>
        <w:tc>
          <w:tcPr>
            <w:tcW w:w="378" w:type="dxa"/>
            <w:tcBorders>
              <w:top w:val="nil"/>
              <w:left w:val="nil"/>
              <w:bottom w:val="single" w:sz="8" w:space="0" w:color="auto"/>
              <w:right w:val="single" w:sz="8" w:space="0" w:color="auto"/>
            </w:tcBorders>
            <w:shd w:val="clear" w:color="auto" w:fill="auto"/>
            <w:vAlign w:val="center"/>
          </w:tcPr>
          <w:p w14:paraId="7DF59151" w14:textId="77777777" w:rsidR="00246302" w:rsidRPr="00F14868" w:rsidRDefault="00246302" w:rsidP="00206F16">
            <w:pPr>
              <w:spacing w:after="0" w:line="240" w:lineRule="auto"/>
              <w:jc w:val="center"/>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23</w:t>
            </w:r>
          </w:p>
        </w:tc>
        <w:tc>
          <w:tcPr>
            <w:tcW w:w="362" w:type="dxa"/>
            <w:tcBorders>
              <w:top w:val="nil"/>
              <w:left w:val="nil"/>
              <w:bottom w:val="single" w:sz="8" w:space="0" w:color="auto"/>
              <w:right w:val="single" w:sz="4" w:space="0" w:color="auto"/>
            </w:tcBorders>
            <w:shd w:val="clear" w:color="auto" w:fill="auto"/>
            <w:vAlign w:val="center"/>
          </w:tcPr>
          <w:p w14:paraId="50D4D426" w14:textId="77777777" w:rsidR="00246302" w:rsidRPr="00F14868" w:rsidRDefault="00246302" w:rsidP="00206F16">
            <w:pPr>
              <w:spacing w:after="0" w:line="240" w:lineRule="auto"/>
              <w:jc w:val="center"/>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24</w:t>
            </w:r>
          </w:p>
        </w:tc>
        <w:tc>
          <w:tcPr>
            <w:tcW w:w="394" w:type="dxa"/>
            <w:tcBorders>
              <w:top w:val="nil"/>
              <w:left w:val="nil"/>
              <w:bottom w:val="single" w:sz="8" w:space="0" w:color="auto"/>
              <w:right w:val="single" w:sz="4" w:space="0" w:color="auto"/>
            </w:tcBorders>
            <w:shd w:val="clear" w:color="auto" w:fill="auto"/>
            <w:vAlign w:val="center"/>
          </w:tcPr>
          <w:p w14:paraId="0FDB9C3C" w14:textId="77777777" w:rsidR="00246302" w:rsidRPr="00F14868" w:rsidRDefault="00246302" w:rsidP="00206F16">
            <w:pPr>
              <w:spacing w:after="0" w:line="240" w:lineRule="auto"/>
              <w:jc w:val="center"/>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22</w:t>
            </w:r>
          </w:p>
        </w:tc>
        <w:tc>
          <w:tcPr>
            <w:tcW w:w="394" w:type="dxa"/>
            <w:tcBorders>
              <w:top w:val="nil"/>
              <w:left w:val="nil"/>
              <w:bottom w:val="single" w:sz="8" w:space="0" w:color="auto"/>
              <w:right w:val="single" w:sz="4" w:space="0" w:color="auto"/>
            </w:tcBorders>
            <w:shd w:val="clear" w:color="auto" w:fill="auto"/>
            <w:vAlign w:val="center"/>
          </w:tcPr>
          <w:p w14:paraId="770568E2" w14:textId="77777777" w:rsidR="00246302" w:rsidRPr="00F14868" w:rsidRDefault="00246302" w:rsidP="00206F16">
            <w:pPr>
              <w:spacing w:after="0" w:line="240" w:lineRule="auto"/>
              <w:jc w:val="center"/>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23</w:t>
            </w:r>
          </w:p>
        </w:tc>
        <w:tc>
          <w:tcPr>
            <w:tcW w:w="395" w:type="dxa"/>
            <w:tcBorders>
              <w:top w:val="nil"/>
              <w:left w:val="single" w:sz="4" w:space="0" w:color="auto"/>
              <w:bottom w:val="single" w:sz="8" w:space="0" w:color="auto"/>
              <w:right w:val="single" w:sz="4" w:space="0" w:color="auto"/>
            </w:tcBorders>
            <w:shd w:val="clear" w:color="auto" w:fill="auto"/>
            <w:vAlign w:val="center"/>
          </w:tcPr>
          <w:p w14:paraId="2595A40F" w14:textId="77777777" w:rsidR="00246302" w:rsidRPr="00F14868" w:rsidRDefault="00246302" w:rsidP="00206F16">
            <w:pPr>
              <w:spacing w:after="0" w:line="240" w:lineRule="auto"/>
              <w:jc w:val="center"/>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24</w:t>
            </w:r>
          </w:p>
        </w:tc>
        <w:tc>
          <w:tcPr>
            <w:tcW w:w="400" w:type="dxa"/>
            <w:tcBorders>
              <w:top w:val="nil"/>
              <w:left w:val="single" w:sz="4" w:space="0" w:color="auto"/>
              <w:bottom w:val="single" w:sz="8" w:space="0" w:color="auto"/>
              <w:right w:val="single" w:sz="4" w:space="0" w:color="auto"/>
            </w:tcBorders>
            <w:shd w:val="clear" w:color="auto" w:fill="auto"/>
            <w:vAlign w:val="center"/>
          </w:tcPr>
          <w:p w14:paraId="78C393F6" w14:textId="77777777" w:rsidR="00246302" w:rsidRPr="00F14868" w:rsidRDefault="00246302" w:rsidP="00206F16">
            <w:pPr>
              <w:spacing w:after="0" w:line="240" w:lineRule="auto"/>
              <w:jc w:val="center"/>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25</w:t>
            </w:r>
          </w:p>
        </w:tc>
        <w:tc>
          <w:tcPr>
            <w:tcW w:w="484" w:type="dxa"/>
            <w:tcBorders>
              <w:top w:val="nil"/>
              <w:left w:val="single" w:sz="4" w:space="0" w:color="auto"/>
              <w:bottom w:val="single" w:sz="8" w:space="0" w:color="auto"/>
              <w:right w:val="single" w:sz="4" w:space="0" w:color="auto"/>
            </w:tcBorders>
            <w:shd w:val="clear" w:color="auto" w:fill="auto"/>
          </w:tcPr>
          <w:p w14:paraId="02102D45" w14:textId="77777777" w:rsidR="00246302" w:rsidRPr="00F14868" w:rsidRDefault="00246302" w:rsidP="00206F16">
            <w:pPr>
              <w:spacing w:after="0" w:line="240" w:lineRule="auto"/>
              <w:jc w:val="center"/>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22</w:t>
            </w:r>
          </w:p>
        </w:tc>
        <w:tc>
          <w:tcPr>
            <w:tcW w:w="394" w:type="dxa"/>
            <w:tcBorders>
              <w:top w:val="nil"/>
              <w:left w:val="single" w:sz="4" w:space="0" w:color="auto"/>
              <w:bottom w:val="single" w:sz="8" w:space="0" w:color="auto"/>
              <w:right w:val="single" w:sz="4" w:space="0" w:color="auto"/>
            </w:tcBorders>
            <w:shd w:val="clear" w:color="auto" w:fill="auto"/>
          </w:tcPr>
          <w:p w14:paraId="41A56EEE" w14:textId="77777777" w:rsidR="00246302" w:rsidRPr="00F14868" w:rsidRDefault="00246302" w:rsidP="00206F16">
            <w:pPr>
              <w:spacing w:after="0" w:line="240" w:lineRule="auto"/>
              <w:jc w:val="center"/>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23</w:t>
            </w:r>
          </w:p>
        </w:tc>
        <w:tc>
          <w:tcPr>
            <w:tcW w:w="458" w:type="dxa"/>
            <w:tcBorders>
              <w:top w:val="nil"/>
              <w:left w:val="single" w:sz="4" w:space="0" w:color="auto"/>
              <w:bottom w:val="single" w:sz="8" w:space="0" w:color="auto"/>
              <w:right w:val="single" w:sz="4" w:space="0" w:color="auto"/>
            </w:tcBorders>
            <w:shd w:val="clear" w:color="auto" w:fill="auto"/>
          </w:tcPr>
          <w:p w14:paraId="029D8984" w14:textId="77777777" w:rsidR="00246302" w:rsidRPr="00F14868" w:rsidRDefault="00246302" w:rsidP="00206F16">
            <w:pPr>
              <w:spacing w:after="0" w:line="240" w:lineRule="auto"/>
              <w:jc w:val="center"/>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24</w:t>
            </w:r>
          </w:p>
        </w:tc>
        <w:tc>
          <w:tcPr>
            <w:tcW w:w="332" w:type="dxa"/>
            <w:tcBorders>
              <w:top w:val="nil"/>
              <w:left w:val="single" w:sz="4" w:space="0" w:color="auto"/>
              <w:bottom w:val="single" w:sz="8" w:space="0" w:color="auto"/>
              <w:right w:val="single" w:sz="4" w:space="0" w:color="auto"/>
            </w:tcBorders>
            <w:shd w:val="clear" w:color="auto" w:fill="auto"/>
          </w:tcPr>
          <w:p w14:paraId="70B14A64" w14:textId="77777777" w:rsidR="00246302" w:rsidRPr="00F14868" w:rsidRDefault="00246302" w:rsidP="00206F16">
            <w:pPr>
              <w:spacing w:after="0" w:line="240" w:lineRule="auto"/>
              <w:jc w:val="center"/>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25</w:t>
            </w:r>
          </w:p>
        </w:tc>
        <w:tc>
          <w:tcPr>
            <w:tcW w:w="394" w:type="dxa"/>
            <w:tcBorders>
              <w:top w:val="nil"/>
              <w:left w:val="single" w:sz="4" w:space="0" w:color="auto"/>
              <w:bottom w:val="single" w:sz="8" w:space="0" w:color="auto"/>
              <w:right w:val="single" w:sz="4" w:space="0" w:color="auto"/>
            </w:tcBorders>
            <w:shd w:val="clear" w:color="auto" w:fill="auto"/>
          </w:tcPr>
          <w:p w14:paraId="5C7FDC6F" w14:textId="77777777" w:rsidR="00246302" w:rsidRPr="00F14868" w:rsidRDefault="00246302" w:rsidP="00206F16">
            <w:pPr>
              <w:spacing w:after="0" w:line="240" w:lineRule="auto"/>
              <w:jc w:val="center"/>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22</w:t>
            </w:r>
          </w:p>
        </w:tc>
        <w:tc>
          <w:tcPr>
            <w:tcW w:w="394" w:type="dxa"/>
            <w:tcBorders>
              <w:top w:val="nil"/>
              <w:left w:val="single" w:sz="4" w:space="0" w:color="auto"/>
              <w:bottom w:val="single" w:sz="8" w:space="0" w:color="auto"/>
              <w:right w:val="single" w:sz="4" w:space="0" w:color="auto"/>
            </w:tcBorders>
            <w:shd w:val="clear" w:color="auto" w:fill="auto"/>
          </w:tcPr>
          <w:p w14:paraId="303873B4" w14:textId="77777777" w:rsidR="00246302" w:rsidRPr="00F14868" w:rsidRDefault="00246302" w:rsidP="00206F16">
            <w:pPr>
              <w:spacing w:after="0" w:line="240" w:lineRule="auto"/>
              <w:jc w:val="center"/>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23</w:t>
            </w:r>
          </w:p>
        </w:tc>
        <w:tc>
          <w:tcPr>
            <w:tcW w:w="439" w:type="dxa"/>
            <w:tcBorders>
              <w:top w:val="nil"/>
              <w:left w:val="single" w:sz="4" w:space="0" w:color="auto"/>
              <w:bottom w:val="single" w:sz="8" w:space="0" w:color="auto"/>
              <w:right w:val="single" w:sz="4" w:space="0" w:color="auto"/>
            </w:tcBorders>
            <w:shd w:val="clear" w:color="auto" w:fill="auto"/>
          </w:tcPr>
          <w:p w14:paraId="00BB9105" w14:textId="77777777" w:rsidR="00246302" w:rsidRPr="00F14868" w:rsidRDefault="00246302" w:rsidP="00206F16">
            <w:pPr>
              <w:spacing w:after="0" w:line="240" w:lineRule="auto"/>
              <w:jc w:val="center"/>
              <w:rPr>
                <w:rFonts w:ascii="Calibri" w:eastAsia="Times New Roman" w:hAnsi="Calibri" w:cs="Calibri"/>
                <w:b/>
                <w:bCs/>
                <w:color w:val="000000"/>
                <w:sz w:val="18"/>
                <w:szCs w:val="18"/>
                <w:lang w:eastAsia="sl-SI"/>
              </w:rPr>
            </w:pPr>
            <w:r w:rsidRPr="00F14868">
              <w:rPr>
                <w:rFonts w:ascii="Calibri" w:eastAsia="Times New Roman" w:hAnsi="Calibri" w:cs="Calibri"/>
                <w:b/>
                <w:bCs/>
                <w:color w:val="000000"/>
                <w:sz w:val="18"/>
                <w:szCs w:val="18"/>
                <w:lang w:eastAsia="sl-SI"/>
              </w:rPr>
              <w:t>24</w:t>
            </w:r>
          </w:p>
        </w:tc>
      </w:tr>
      <w:tr w:rsidR="00246302" w:rsidRPr="00F14868" w14:paraId="0FC6AAAD" w14:textId="77777777" w:rsidTr="00206F16">
        <w:trPr>
          <w:trHeight w:val="50"/>
          <w:jc w:val="center"/>
        </w:trPr>
        <w:tc>
          <w:tcPr>
            <w:tcW w:w="105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272E53A6" w14:textId="77777777" w:rsidR="00246302" w:rsidRPr="00F14868" w:rsidRDefault="00246302" w:rsidP="00206F16">
            <w:pPr>
              <w:spacing w:after="0" w:line="240" w:lineRule="auto"/>
              <w:rPr>
                <w:rFonts w:ascii="Calibri" w:eastAsia="Times New Roman" w:hAnsi="Calibri" w:cs="Calibri"/>
                <w:color w:val="000000"/>
                <w:sz w:val="18"/>
                <w:szCs w:val="18"/>
                <w:lang w:eastAsia="sl-SI"/>
              </w:rPr>
            </w:pPr>
            <w:r w:rsidRPr="00482C72">
              <w:rPr>
                <w:rFonts w:ascii="Calibri" w:eastAsia="Times New Roman" w:hAnsi="Calibri" w:cs="Calibri"/>
                <w:color w:val="000000"/>
                <w:sz w:val="18"/>
                <w:szCs w:val="18"/>
                <w:lang w:eastAsia="sl-SI"/>
              </w:rPr>
              <w:t>BDP</w:t>
            </w:r>
          </w:p>
        </w:tc>
        <w:tc>
          <w:tcPr>
            <w:tcW w:w="414" w:type="dxa"/>
            <w:tcBorders>
              <w:top w:val="nil"/>
              <w:left w:val="nil"/>
              <w:bottom w:val="single" w:sz="8" w:space="0" w:color="auto"/>
              <w:right w:val="single" w:sz="8" w:space="0" w:color="auto"/>
            </w:tcBorders>
            <w:shd w:val="clear" w:color="auto" w:fill="auto"/>
            <w:vAlign w:val="center"/>
          </w:tcPr>
          <w:p w14:paraId="374BD947"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5</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0</w:t>
            </w:r>
          </w:p>
        </w:tc>
        <w:tc>
          <w:tcPr>
            <w:tcW w:w="379" w:type="dxa"/>
            <w:tcBorders>
              <w:top w:val="nil"/>
              <w:left w:val="nil"/>
              <w:bottom w:val="single" w:sz="8" w:space="0" w:color="auto"/>
              <w:right w:val="single" w:sz="8" w:space="0" w:color="auto"/>
            </w:tcBorders>
            <w:shd w:val="clear" w:color="auto" w:fill="auto"/>
            <w:vAlign w:val="center"/>
          </w:tcPr>
          <w:p w14:paraId="73DB47B1"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1</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4</w:t>
            </w:r>
          </w:p>
        </w:tc>
        <w:tc>
          <w:tcPr>
            <w:tcW w:w="387" w:type="dxa"/>
            <w:tcBorders>
              <w:top w:val="nil"/>
              <w:left w:val="nil"/>
              <w:bottom w:val="single" w:sz="8" w:space="0" w:color="auto"/>
              <w:right w:val="single" w:sz="8" w:space="0" w:color="auto"/>
            </w:tcBorders>
            <w:shd w:val="clear" w:color="auto" w:fill="auto"/>
            <w:vAlign w:val="center"/>
          </w:tcPr>
          <w:p w14:paraId="3E5A3568"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6</w:t>
            </w:r>
          </w:p>
        </w:tc>
        <w:tc>
          <w:tcPr>
            <w:tcW w:w="503" w:type="dxa"/>
            <w:tcBorders>
              <w:top w:val="nil"/>
              <w:left w:val="nil"/>
              <w:bottom w:val="single" w:sz="8" w:space="0" w:color="auto"/>
              <w:right w:val="single" w:sz="8" w:space="0" w:color="auto"/>
            </w:tcBorders>
            <w:shd w:val="clear" w:color="auto" w:fill="auto"/>
            <w:vAlign w:val="center"/>
          </w:tcPr>
          <w:p w14:paraId="25BFA409"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5</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7</w:t>
            </w:r>
          </w:p>
        </w:tc>
        <w:tc>
          <w:tcPr>
            <w:tcW w:w="390" w:type="dxa"/>
            <w:tcBorders>
              <w:top w:val="nil"/>
              <w:left w:val="nil"/>
              <w:bottom w:val="single" w:sz="8" w:space="0" w:color="auto"/>
              <w:right w:val="single" w:sz="8" w:space="0" w:color="auto"/>
            </w:tcBorders>
            <w:shd w:val="clear" w:color="auto" w:fill="auto"/>
            <w:vAlign w:val="center"/>
          </w:tcPr>
          <w:p w14:paraId="4404AB29"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1</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7</w:t>
            </w:r>
          </w:p>
        </w:tc>
        <w:tc>
          <w:tcPr>
            <w:tcW w:w="368" w:type="dxa"/>
            <w:tcBorders>
              <w:top w:val="nil"/>
              <w:left w:val="nil"/>
              <w:bottom w:val="single" w:sz="8" w:space="0" w:color="auto"/>
              <w:right w:val="single" w:sz="8" w:space="0" w:color="auto"/>
            </w:tcBorders>
            <w:shd w:val="clear" w:color="auto" w:fill="auto"/>
            <w:vAlign w:val="center"/>
          </w:tcPr>
          <w:p w14:paraId="02271F16"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6</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2</w:t>
            </w:r>
          </w:p>
        </w:tc>
        <w:tc>
          <w:tcPr>
            <w:tcW w:w="368" w:type="dxa"/>
            <w:tcBorders>
              <w:top w:val="nil"/>
              <w:left w:val="nil"/>
              <w:bottom w:val="single" w:sz="8" w:space="0" w:color="auto"/>
              <w:right w:val="single" w:sz="8" w:space="0" w:color="auto"/>
            </w:tcBorders>
            <w:shd w:val="clear" w:color="auto" w:fill="auto"/>
            <w:vAlign w:val="center"/>
          </w:tcPr>
          <w:p w14:paraId="31E044A4"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0</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8</w:t>
            </w:r>
          </w:p>
        </w:tc>
        <w:tc>
          <w:tcPr>
            <w:tcW w:w="325" w:type="dxa"/>
            <w:tcBorders>
              <w:top w:val="nil"/>
              <w:left w:val="nil"/>
              <w:bottom w:val="single" w:sz="8" w:space="0" w:color="auto"/>
              <w:right w:val="single" w:sz="8" w:space="0" w:color="auto"/>
            </w:tcBorders>
            <w:shd w:val="clear" w:color="auto" w:fill="auto"/>
            <w:vAlign w:val="center"/>
          </w:tcPr>
          <w:p w14:paraId="03B62386"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1</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7</w:t>
            </w:r>
          </w:p>
        </w:tc>
        <w:tc>
          <w:tcPr>
            <w:tcW w:w="368" w:type="dxa"/>
            <w:tcBorders>
              <w:top w:val="nil"/>
              <w:left w:val="nil"/>
              <w:bottom w:val="single" w:sz="8" w:space="0" w:color="auto"/>
              <w:right w:val="single" w:sz="8" w:space="0" w:color="auto"/>
            </w:tcBorders>
            <w:shd w:val="clear" w:color="auto" w:fill="auto"/>
            <w:vAlign w:val="center"/>
          </w:tcPr>
          <w:p w14:paraId="7D7D6AEC"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5</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0</w:t>
            </w:r>
          </w:p>
        </w:tc>
        <w:tc>
          <w:tcPr>
            <w:tcW w:w="378" w:type="dxa"/>
            <w:tcBorders>
              <w:top w:val="nil"/>
              <w:left w:val="nil"/>
              <w:bottom w:val="single" w:sz="8" w:space="0" w:color="auto"/>
              <w:right w:val="single" w:sz="8" w:space="0" w:color="auto"/>
            </w:tcBorders>
            <w:shd w:val="clear" w:color="auto" w:fill="auto"/>
            <w:vAlign w:val="center"/>
          </w:tcPr>
          <w:p w14:paraId="4F7BD61F"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0</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5</w:t>
            </w:r>
          </w:p>
        </w:tc>
        <w:tc>
          <w:tcPr>
            <w:tcW w:w="362" w:type="dxa"/>
            <w:tcBorders>
              <w:top w:val="nil"/>
              <w:left w:val="nil"/>
              <w:bottom w:val="single" w:sz="8" w:space="0" w:color="auto"/>
              <w:right w:val="single" w:sz="4" w:space="0" w:color="auto"/>
            </w:tcBorders>
            <w:shd w:val="clear" w:color="auto" w:fill="auto"/>
            <w:vAlign w:val="center"/>
          </w:tcPr>
          <w:p w14:paraId="5CD23CCD"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0</w:t>
            </w:r>
          </w:p>
        </w:tc>
        <w:tc>
          <w:tcPr>
            <w:tcW w:w="394" w:type="dxa"/>
            <w:tcBorders>
              <w:top w:val="nil"/>
              <w:left w:val="nil"/>
              <w:bottom w:val="single" w:sz="8" w:space="0" w:color="auto"/>
              <w:right w:val="single" w:sz="4" w:space="0" w:color="auto"/>
            </w:tcBorders>
            <w:shd w:val="clear" w:color="auto" w:fill="auto"/>
            <w:vAlign w:val="center"/>
          </w:tcPr>
          <w:p w14:paraId="087360A3"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5</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0</w:t>
            </w:r>
          </w:p>
        </w:tc>
        <w:tc>
          <w:tcPr>
            <w:tcW w:w="394" w:type="dxa"/>
            <w:tcBorders>
              <w:top w:val="nil"/>
              <w:left w:val="nil"/>
              <w:bottom w:val="single" w:sz="8" w:space="0" w:color="auto"/>
              <w:right w:val="single" w:sz="4" w:space="0" w:color="auto"/>
            </w:tcBorders>
            <w:shd w:val="clear" w:color="auto" w:fill="auto"/>
            <w:vAlign w:val="center"/>
          </w:tcPr>
          <w:p w14:paraId="4D4F10BA"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0</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8</w:t>
            </w:r>
          </w:p>
        </w:tc>
        <w:tc>
          <w:tcPr>
            <w:tcW w:w="395" w:type="dxa"/>
            <w:tcBorders>
              <w:top w:val="nil"/>
              <w:left w:val="single" w:sz="4" w:space="0" w:color="auto"/>
              <w:bottom w:val="single" w:sz="8" w:space="0" w:color="auto"/>
              <w:right w:val="single" w:sz="4" w:space="0" w:color="auto"/>
            </w:tcBorders>
            <w:shd w:val="clear" w:color="auto" w:fill="auto"/>
            <w:vAlign w:val="center"/>
          </w:tcPr>
          <w:p w14:paraId="6D417C4B"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4</w:t>
            </w:r>
          </w:p>
        </w:tc>
        <w:tc>
          <w:tcPr>
            <w:tcW w:w="400" w:type="dxa"/>
            <w:tcBorders>
              <w:top w:val="nil"/>
              <w:left w:val="single" w:sz="4" w:space="0" w:color="auto"/>
              <w:bottom w:val="single" w:sz="8" w:space="0" w:color="auto"/>
              <w:right w:val="single" w:sz="4" w:space="0" w:color="auto"/>
            </w:tcBorders>
            <w:shd w:val="clear" w:color="auto" w:fill="auto"/>
            <w:vAlign w:val="center"/>
          </w:tcPr>
          <w:p w14:paraId="044A4974"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3</w:t>
            </w:r>
          </w:p>
        </w:tc>
        <w:tc>
          <w:tcPr>
            <w:tcW w:w="484" w:type="dxa"/>
            <w:tcBorders>
              <w:top w:val="nil"/>
              <w:left w:val="single" w:sz="4" w:space="0" w:color="auto"/>
              <w:bottom w:val="single" w:sz="8" w:space="0" w:color="auto"/>
              <w:right w:val="single" w:sz="4" w:space="0" w:color="auto"/>
            </w:tcBorders>
            <w:shd w:val="clear" w:color="auto" w:fill="auto"/>
            <w:vAlign w:val="center"/>
          </w:tcPr>
          <w:p w14:paraId="30F09286"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5</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4</w:t>
            </w:r>
          </w:p>
        </w:tc>
        <w:tc>
          <w:tcPr>
            <w:tcW w:w="394" w:type="dxa"/>
            <w:tcBorders>
              <w:top w:val="nil"/>
              <w:left w:val="single" w:sz="4" w:space="0" w:color="auto"/>
              <w:bottom w:val="single" w:sz="8" w:space="0" w:color="auto"/>
              <w:right w:val="single" w:sz="4" w:space="0" w:color="auto"/>
            </w:tcBorders>
            <w:shd w:val="clear" w:color="auto" w:fill="auto"/>
            <w:vAlign w:val="center"/>
          </w:tcPr>
          <w:p w14:paraId="1831FF0A"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1</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8</w:t>
            </w:r>
          </w:p>
        </w:tc>
        <w:tc>
          <w:tcPr>
            <w:tcW w:w="458" w:type="dxa"/>
            <w:tcBorders>
              <w:top w:val="nil"/>
              <w:left w:val="single" w:sz="4" w:space="0" w:color="auto"/>
              <w:bottom w:val="single" w:sz="8" w:space="0" w:color="auto"/>
              <w:right w:val="single" w:sz="4" w:space="0" w:color="auto"/>
            </w:tcBorders>
            <w:shd w:val="clear" w:color="auto" w:fill="auto"/>
            <w:vAlign w:val="center"/>
          </w:tcPr>
          <w:p w14:paraId="5111ECBC"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5</w:t>
            </w:r>
          </w:p>
        </w:tc>
        <w:tc>
          <w:tcPr>
            <w:tcW w:w="332" w:type="dxa"/>
            <w:tcBorders>
              <w:top w:val="nil"/>
              <w:left w:val="single" w:sz="4" w:space="0" w:color="auto"/>
              <w:bottom w:val="single" w:sz="8" w:space="0" w:color="auto"/>
              <w:right w:val="single" w:sz="4" w:space="0" w:color="auto"/>
            </w:tcBorders>
            <w:shd w:val="clear" w:color="auto" w:fill="auto"/>
            <w:vAlign w:val="center"/>
          </w:tcPr>
          <w:p w14:paraId="37B3DACA"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6</w:t>
            </w:r>
          </w:p>
        </w:tc>
        <w:tc>
          <w:tcPr>
            <w:tcW w:w="394" w:type="dxa"/>
            <w:tcBorders>
              <w:top w:val="nil"/>
              <w:left w:val="single" w:sz="4" w:space="0" w:color="auto"/>
              <w:bottom w:val="single" w:sz="8" w:space="0" w:color="auto"/>
              <w:right w:val="single" w:sz="4" w:space="0" w:color="auto"/>
            </w:tcBorders>
            <w:shd w:val="clear" w:color="auto" w:fill="auto"/>
            <w:vAlign w:val="center"/>
          </w:tcPr>
          <w:p w14:paraId="09DD3FD8" w14:textId="77777777" w:rsidR="00246302" w:rsidRPr="00F14868" w:rsidRDefault="00246302" w:rsidP="00206F16">
            <w:pPr>
              <w:spacing w:after="0" w:line="240" w:lineRule="auto"/>
              <w:jc w:val="center"/>
              <w:rPr>
                <w:rFonts w:eastAsia="Times New Roman" w:cstheme="minorHAnsi"/>
                <w:color w:val="000000"/>
                <w:sz w:val="18"/>
                <w:szCs w:val="18"/>
                <w:lang w:eastAsia="sl-SI"/>
              </w:rPr>
            </w:pPr>
            <w:r w:rsidRPr="00F14868">
              <w:rPr>
                <w:rFonts w:eastAsia="Times New Roman" w:cstheme="minorHAnsi"/>
                <w:sz w:val="18"/>
                <w:szCs w:val="18"/>
              </w:rPr>
              <w:t>5</w:t>
            </w:r>
            <w:r w:rsidRPr="00482C72">
              <w:rPr>
                <w:rFonts w:eastAsia="Times New Roman" w:cstheme="minorHAnsi"/>
                <w:sz w:val="18"/>
                <w:szCs w:val="18"/>
              </w:rPr>
              <w:t>,</w:t>
            </w:r>
            <w:r w:rsidRPr="00F14868">
              <w:rPr>
                <w:rFonts w:eastAsia="Times New Roman" w:cstheme="minorHAnsi"/>
                <w:sz w:val="18"/>
                <w:szCs w:val="18"/>
              </w:rPr>
              <w:t>4</w:t>
            </w:r>
          </w:p>
        </w:tc>
        <w:tc>
          <w:tcPr>
            <w:tcW w:w="394" w:type="dxa"/>
            <w:tcBorders>
              <w:top w:val="nil"/>
              <w:left w:val="single" w:sz="4" w:space="0" w:color="auto"/>
              <w:bottom w:val="single" w:sz="8" w:space="0" w:color="auto"/>
              <w:right w:val="single" w:sz="4" w:space="0" w:color="auto"/>
            </w:tcBorders>
            <w:shd w:val="clear" w:color="auto" w:fill="auto"/>
            <w:vAlign w:val="center"/>
          </w:tcPr>
          <w:p w14:paraId="07E6E763" w14:textId="77777777" w:rsidR="00246302" w:rsidRPr="00F14868" w:rsidRDefault="00246302" w:rsidP="00206F16">
            <w:pPr>
              <w:spacing w:after="0" w:line="240" w:lineRule="auto"/>
              <w:jc w:val="center"/>
              <w:rPr>
                <w:rFonts w:eastAsia="Times New Roman" w:cstheme="minorHAnsi"/>
                <w:color w:val="000000"/>
                <w:sz w:val="18"/>
                <w:szCs w:val="18"/>
                <w:lang w:eastAsia="sl-SI"/>
              </w:rPr>
            </w:pPr>
            <w:r w:rsidRPr="00F14868">
              <w:rPr>
                <w:rFonts w:eastAsia="Times New Roman" w:cstheme="minorHAnsi"/>
                <w:sz w:val="18"/>
                <w:szCs w:val="18"/>
              </w:rPr>
              <w:t>1</w:t>
            </w:r>
            <w:r w:rsidRPr="00482C72">
              <w:rPr>
                <w:rFonts w:eastAsia="Times New Roman" w:cstheme="minorHAnsi"/>
                <w:sz w:val="18"/>
                <w:szCs w:val="18"/>
              </w:rPr>
              <w:t>,</w:t>
            </w:r>
            <w:r w:rsidRPr="00F14868">
              <w:rPr>
                <w:rFonts w:eastAsia="Times New Roman" w:cstheme="minorHAnsi"/>
                <w:sz w:val="18"/>
                <w:szCs w:val="18"/>
              </w:rPr>
              <w:t>6</w:t>
            </w:r>
          </w:p>
        </w:tc>
        <w:tc>
          <w:tcPr>
            <w:tcW w:w="439" w:type="dxa"/>
            <w:tcBorders>
              <w:top w:val="nil"/>
              <w:left w:val="single" w:sz="4" w:space="0" w:color="auto"/>
              <w:bottom w:val="single" w:sz="8" w:space="0" w:color="auto"/>
              <w:right w:val="single" w:sz="4" w:space="0" w:color="auto"/>
            </w:tcBorders>
            <w:shd w:val="clear" w:color="auto" w:fill="auto"/>
            <w:vAlign w:val="center"/>
          </w:tcPr>
          <w:p w14:paraId="404770FF" w14:textId="77777777" w:rsidR="00246302" w:rsidRPr="00F14868" w:rsidRDefault="00246302" w:rsidP="00206F16">
            <w:pPr>
              <w:spacing w:after="0" w:line="240" w:lineRule="auto"/>
              <w:jc w:val="center"/>
              <w:rPr>
                <w:rFonts w:eastAsia="Times New Roman" w:cstheme="minorHAnsi"/>
                <w:color w:val="000000"/>
                <w:sz w:val="18"/>
                <w:szCs w:val="18"/>
                <w:lang w:eastAsia="sl-SI"/>
              </w:rPr>
            </w:pPr>
            <w:r w:rsidRPr="00F14868">
              <w:rPr>
                <w:rFonts w:eastAsia="Times New Roman" w:cstheme="minorHAnsi"/>
                <w:sz w:val="18"/>
                <w:szCs w:val="18"/>
              </w:rPr>
              <w:t>2</w:t>
            </w:r>
            <w:r w:rsidRPr="00482C72">
              <w:rPr>
                <w:rFonts w:eastAsia="Times New Roman" w:cstheme="minorHAnsi"/>
                <w:sz w:val="18"/>
                <w:szCs w:val="18"/>
              </w:rPr>
              <w:t>,</w:t>
            </w:r>
            <w:r w:rsidRPr="00F14868">
              <w:rPr>
                <w:rFonts w:eastAsia="Times New Roman" w:cstheme="minorHAnsi"/>
                <w:sz w:val="18"/>
                <w:szCs w:val="18"/>
              </w:rPr>
              <w:t>1</w:t>
            </w:r>
          </w:p>
        </w:tc>
      </w:tr>
      <w:tr w:rsidR="00246302" w:rsidRPr="00F14868" w14:paraId="23D12FD2" w14:textId="77777777" w:rsidTr="00206F16">
        <w:trPr>
          <w:trHeight w:val="50"/>
          <w:jc w:val="center"/>
        </w:trPr>
        <w:tc>
          <w:tcPr>
            <w:tcW w:w="105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538E5FA0" w14:textId="77777777" w:rsidR="00246302" w:rsidRPr="00F14868" w:rsidRDefault="00246302" w:rsidP="00206F16">
            <w:pPr>
              <w:spacing w:after="0" w:line="240" w:lineRule="auto"/>
              <w:rPr>
                <w:rFonts w:ascii="Calibri" w:eastAsia="Times New Roman" w:hAnsi="Calibri" w:cs="Calibri"/>
                <w:color w:val="000000"/>
                <w:sz w:val="18"/>
                <w:szCs w:val="18"/>
                <w:lang w:eastAsia="sl-SI"/>
              </w:rPr>
            </w:pPr>
            <w:r w:rsidRPr="00482C72">
              <w:rPr>
                <w:rFonts w:ascii="Calibri" w:eastAsia="Times New Roman" w:hAnsi="Calibri" w:cs="Calibri"/>
                <w:color w:val="000000"/>
                <w:sz w:val="18"/>
                <w:szCs w:val="18"/>
                <w:lang w:eastAsia="sl-SI"/>
              </w:rPr>
              <w:t>Zasebna potrošnja</w:t>
            </w:r>
          </w:p>
        </w:tc>
        <w:tc>
          <w:tcPr>
            <w:tcW w:w="414" w:type="dxa"/>
            <w:tcBorders>
              <w:top w:val="nil"/>
              <w:left w:val="nil"/>
              <w:bottom w:val="single" w:sz="8" w:space="0" w:color="auto"/>
              <w:right w:val="single" w:sz="8" w:space="0" w:color="auto"/>
            </w:tcBorders>
            <w:shd w:val="clear" w:color="auto" w:fill="auto"/>
            <w:vAlign w:val="center"/>
          </w:tcPr>
          <w:p w14:paraId="17F7607C"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5</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4</w:t>
            </w:r>
          </w:p>
        </w:tc>
        <w:tc>
          <w:tcPr>
            <w:tcW w:w="379" w:type="dxa"/>
            <w:tcBorders>
              <w:top w:val="nil"/>
              <w:left w:val="nil"/>
              <w:bottom w:val="single" w:sz="8" w:space="0" w:color="auto"/>
              <w:right w:val="single" w:sz="8" w:space="0" w:color="auto"/>
            </w:tcBorders>
            <w:shd w:val="clear" w:color="auto" w:fill="auto"/>
            <w:vAlign w:val="center"/>
          </w:tcPr>
          <w:p w14:paraId="083D22FB"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0</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3</w:t>
            </w:r>
          </w:p>
        </w:tc>
        <w:tc>
          <w:tcPr>
            <w:tcW w:w="387" w:type="dxa"/>
            <w:tcBorders>
              <w:top w:val="nil"/>
              <w:left w:val="nil"/>
              <w:bottom w:val="single" w:sz="8" w:space="0" w:color="auto"/>
              <w:right w:val="single" w:sz="8" w:space="0" w:color="auto"/>
            </w:tcBorders>
            <w:shd w:val="clear" w:color="auto" w:fill="auto"/>
            <w:vAlign w:val="center"/>
          </w:tcPr>
          <w:p w14:paraId="2C73B7EC"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1</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9</w:t>
            </w:r>
          </w:p>
        </w:tc>
        <w:tc>
          <w:tcPr>
            <w:tcW w:w="503" w:type="dxa"/>
            <w:tcBorders>
              <w:top w:val="nil"/>
              <w:left w:val="nil"/>
              <w:bottom w:val="single" w:sz="8" w:space="0" w:color="auto"/>
              <w:right w:val="single" w:sz="8" w:space="0" w:color="auto"/>
            </w:tcBorders>
            <w:shd w:val="clear" w:color="auto" w:fill="auto"/>
            <w:vAlign w:val="center"/>
          </w:tcPr>
          <w:p w14:paraId="6E63B02C"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p>
        </w:tc>
        <w:tc>
          <w:tcPr>
            <w:tcW w:w="390" w:type="dxa"/>
            <w:tcBorders>
              <w:top w:val="nil"/>
              <w:left w:val="nil"/>
              <w:bottom w:val="single" w:sz="8" w:space="0" w:color="auto"/>
              <w:right w:val="single" w:sz="8" w:space="0" w:color="auto"/>
            </w:tcBorders>
            <w:shd w:val="clear" w:color="auto" w:fill="auto"/>
            <w:vAlign w:val="center"/>
          </w:tcPr>
          <w:p w14:paraId="016A8737"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p>
        </w:tc>
        <w:tc>
          <w:tcPr>
            <w:tcW w:w="368" w:type="dxa"/>
            <w:tcBorders>
              <w:top w:val="nil"/>
              <w:left w:val="nil"/>
              <w:bottom w:val="single" w:sz="8" w:space="0" w:color="auto"/>
              <w:right w:val="single" w:sz="8" w:space="0" w:color="auto"/>
            </w:tcBorders>
            <w:shd w:val="clear" w:color="auto" w:fill="auto"/>
            <w:vAlign w:val="center"/>
          </w:tcPr>
          <w:p w14:paraId="6ED20CF0"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8</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1</w:t>
            </w:r>
          </w:p>
        </w:tc>
        <w:tc>
          <w:tcPr>
            <w:tcW w:w="368" w:type="dxa"/>
            <w:tcBorders>
              <w:top w:val="nil"/>
              <w:left w:val="nil"/>
              <w:bottom w:val="single" w:sz="8" w:space="0" w:color="auto"/>
              <w:right w:val="single" w:sz="8" w:space="0" w:color="auto"/>
            </w:tcBorders>
            <w:shd w:val="clear" w:color="auto" w:fill="auto"/>
            <w:vAlign w:val="center"/>
          </w:tcPr>
          <w:p w14:paraId="0B4749BB"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-0</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3</w:t>
            </w:r>
          </w:p>
        </w:tc>
        <w:tc>
          <w:tcPr>
            <w:tcW w:w="325" w:type="dxa"/>
            <w:tcBorders>
              <w:top w:val="nil"/>
              <w:left w:val="nil"/>
              <w:bottom w:val="single" w:sz="8" w:space="0" w:color="auto"/>
              <w:right w:val="single" w:sz="8" w:space="0" w:color="auto"/>
            </w:tcBorders>
            <w:shd w:val="clear" w:color="auto" w:fill="auto"/>
            <w:vAlign w:val="center"/>
          </w:tcPr>
          <w:p w14:paraId="48E43139"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1</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6</w:t>
            </w:r>
          </w:p>
        </w:tc>
        <w:tc>
          <w:tcPr>
            <w:tcW w:w="368" w:type="dxa"/>
            <w:tcBorders>
              <w:top w:val="nil"/>
              <w:left w:val="nil"/>
              <w:bottom w:val="single" w:sz="8" w:space="0" w:color="auto"/>
              <w:right w:val="single" w:sz="8" w:space="0" w:color="auto"/>
            </w:tcBorders>
            <w:shd w:val="clear" w:color="auto" w:fill="auto"/>
            <w:vAlign w:val="center"/>
          </w:tcPr>
          <w:p w14:paraId="75412A93"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7</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6</w:t>
            </w:r>
          </w:p>
        </w:tc>
        <w:tc>
          <w:tcPr>
            <w:tcW w:w="378" w:type="dxa"/>
            <w:tcBorders>
              <w:top w:val="nil"/>
              <w:left w:val="nil"/>
              <w:bottom w:val="single" w:sz="8" w:space="0" w:color="auto"/>
              <w:right w:val="single" w:sz="8" w:space="0" w:color="auto"/>
            </w:tcBorders>
            <w:shd w:val="clear" w:color="auto" w:fill="auto"/>
            <w:vAlign w:val="center"/>
          </w:tcPr>
          <w:p w14:paraId="600B458F"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0</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2</w:t>
            </w:r>
          </w:p>
        </w:tc>
        <w:tc>
          <w:tcPr>
            <w:tcW w:w="362" w:type="dxa"/>
            <w:tcBorders>
              <w:top w:val="nil"/>
              <w:left w:val="nil"/>
              <w:bottom w:val="single" w:sz="8" w:space="0" w:color="auto"/>
              <w:right w:val="single" w:sz="8" w:space="0" w:color="auto"/>
            </w:tcBorders>
            <w:shd w:val="clear" w:color="auto" w:fill="auto"/>
            <w:vAlign w:val="center"/>
          </w:tcPr>
          <w:p w14:paraId="2B78580A"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1</w:t>
            </w:r>
          </w:p>
        </w:tc>
        <w:tc>
          <w:tcPr>
            <w:tcW w:w="394" w:type="dxa"/>
            <w:tcBorders>
              <w:top w:val="nil"/>
              <w:left w:val="nil"/>
              <w:bottom w:val="single" w:sz="8" w:space="0" w:color="auto"/>
              <w:right w:val="single" w:sz="8" w:space="0" w:color="auto"/>
            </w:tcBorders>
            <w:shd w:val="clear" w:color="auto" w:fill="auto"/>
            <w:vAlign w:val="center"/>
          </w:tcPr>
          <w:p w14:paraId="42D65059"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8</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3</w:t>
            </w:r>
          </w:p>
        </w:tc>
        <w:tc>
          <w:tcPr>
            <w:tcW w:w="394" w:type="dxa"/>
            <w:tcBorders>
              <w:top w:val="nil"/>
              <w:left w:val="nil"/>
              <w:bottom w:val="single" w:sz="8" w:space="0" w:color="auto"/>
              <w:right w:val="single" w:sz="4" w:space="0" w:color="auto"/>
            </w:tcBorders>
            <w:shd w:val="clear" w:color="auto" w:fill="auto"/>
            <w:vAlign w:val="center"/>
          </w:tcPr>
          <w:p w14:paraId="32D54292"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0</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5</w:t>
            </w:r>
          </w:p>
        </w:tc>
        <w:tc>
          <w:tcPr>
            <w:tcW w:w="395" w:type="dxa"/>
            <w:tcBorders>
              <w:top w:val="nil"/>
              <w:left w:val="single" w:sz="4" w:space="0" w:color="auto"/>
              <w:bottom w:val="single" w:sz="8" w:space="0" w:color="auto"/>
              <w:right w:val="single" w:sz="8" w:space="0" w:color="auto"/>
            </w:tcBorders>
            <w:shd w:val="clear" w:color="auto" w:fill="auto"/>
            <w:vAlign w:val="center"/>
          </w:tcPr>
          <w:p w14:paraId="3A67A585"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1</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7</w:t>
            </w:r>
          </w:p>
        </w:tc>
        <w:tc>
          <w:tcPr>
            <w:tcW w:w="400" w:type="dxa"/>
            <w:tcBorders>
              <w:top w:val="nil"/>
              <w:left w:val="single" w:sz="4" w:space="0" w:color="auto"/>
              <w:bottom w:val="single" w:sz="8" w:space="0" w:color="auto"/>
              <w:right w:val="single" w:sz="8" w:space="0" w:color="auto"/>
            </w:tcBorders>
            <w:shd w:val="clear" w:color="auto" w:fill="auto"/>
            <w:vAlign w:val="center"/>
          </w:tcPr>
          <w:p w14:paraId="3545A7EC"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1</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6</w:t>
            </w:r>
          </w:p>
        </w:tc>
        <w:tc>
          <w:tcPr>
            <w:tcW w:w="484" w:type="dxa"/>
            <w:tcBorders>
              <w:top w:val="nil"/>
              <w:left w:val="single" w:sz="4" w:space="0" w:color="auto"/>
              <w:bottom w:val="single" w:sz="8" w:space="0" w:color="auto"/>
              <w:right w:val="single" w:sz="8" w:space="0" w:color="auto"/>
            </w:tcBorders>
            <w:shd w:val="clear" w:color="auto" w:fill="auto"/>
            <w:vAlign w:val="center"/>
          </w:tcPr>
          <w:p w14:paraId="4C47E2F3"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8</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9</w:t>
            </w:r>
          </w:p>
        </w:tc>
        <w:tc>
          <w:tcPr>
            <w:tcW w:w="394" w:type="dxa"/>
            <w:tcBorders>
              <w:top w:val="nil"/>
              <w:left w:val="single" w:sz="4" w:space="0" w:color="auto"/>
              <w:bottom w:val="single" w:sz="8" w:space="0" w:color="auto"/>
              <w:right w:val="single" w:sz="8" w:space="0" w:color="auto"/>
            </w:tcBorders>
            <w:shd w:val="clear" w:color="auto" w:fill="auto"/>
            <w:vAlign w:val="center"/>
          </w:tcPr>
          <w:p w14:paraId="7CDA526D"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1</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2</w:t>
            </w:r>
          </w:p>
        </w:tc>
        <w:tc>
          <w:tcPr>
            <w:tcW w:w="458" w:type="dxa"/>
            <w:tcBorders>
              <w:top w:val="nil"/>
              <w:left w:val="single" w:sz="4" w:space="0" w:color="auto"/>
              <w:bottom w:val="single" w:sz="8" w:space="0" w:color="auto"/>
              <w:right w:val="single" w:sz="8" w:space="0" w:color="auto"/>
            </w:tcBorders>
            <w:shd w:val="clear" w:color="auto" w:fill="auto"/>
            <w:vAlign w:val="center"/>
          </w:tcPr>
          <w:p w14:paraId="5E990ABE"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1</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8</w:t>
            </w:r>
          </w:p>
        </w:tc>
        <w:tc>
          <w:tcPr>
            <w:tcW w:w="332" w:type="dxa"/>
            <w:tcBorders>
              <w:top w:val="nil"/>
              <w:left w:val="single" w:sz="4" w:space="0" w:color="auto"/>
              <w:bottom w:val="single" w:sz="8" w:space="0" w:color="auto"/>
              <w:right w:val="single" w:sz="8" w:space="0" w:color="auto"/>
            </w:tcBorders>
            <w:shd w:val="clear" w:color="auto" w:fill="auto"/>
            <w:vAlign w:val="center"/>
          </w:tcPr>
          <w:p w14:paraId="303E11A3"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1</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8</w:t>
            </w:r>
          </w:p>
        </w:tc>
        <w:tc>
          <w:tcPr>
            <w:tcW w:w="394" w:type="dxa"/>
            <w:tcBorders>
              <w:top w:val="nil"/>
              <w:left w:val="single" w:sz="4" w:space="0" w:color="auto"/>
              <w:bottom w:val="single" w:sz="8" w:space="0" w:color="auto"/>
              <w:right w:val="single" w:sz="8" w:space="0" w:color="auto"/>
            </w:tcBorders>
            <w:shd w:val="clear" w:color="auto" w:fill="auto"/>
            <w:vAlign w:val="center"/>
          </w:tcPr>
          <w:p w14:paraId="5837624B" w14:textId="77777777" w:rsidR="00246302" w:rsidRPr="00F14868" w:rsidRDefault="00246302" w:rsidP="00206F16">
            <w:pPr>
              <w:spacing w:after="0" w:line="240" w:lineRule="auto"/>
              <w:jc w:val="center"/>
              <w:rPr>
                <w:rFonts w:eastAsia="Times New Roman" w:cstheme="minorHAnsi"/>
                <w:color w:val="000000"/>
                <w:sz w:val="18"/>
                <w:szCs w:val="18"/>
                <w:lang w:eastAsia="sl-SI"/>
              </w:rPr>
            </w:pPr>
          </w:p>
        </w:tc>
        <w:tc>
          <w:tcPr>
            <w:tcW w:w="394" w:type="dxa"/>
            <w:tcBorders>
              <w:top w:val="nil"/>
              <w:left w:val="single" w:sz="4" w:space="0" w:color="auto"/>
              <w:bottom w:val="single" w:sz="8" w:space="0" w:color="auto"/>
              <w:right w:val="single" w:sz="8" w:space="0" w:color="auto"/>
            </w:tcBorders>
            <w:shd w:val="clear" w:color="auto" w:fill="auto"/>
            <w:vAlign w:val="center"/>
          </w:tcPr>
          <w:p w14:paraId="5FC2CD68" w14:textId="77777777" w:rsidR="00246302" w:rsidRPr="00F14868" w:rsidRDefault="00246302" w:rsidP="00206F16">
            <w:pPr>
              <w:spacing w:after="0" w:line="240" w:lineRule="auto"/>
              <w:jc w:val="center"/>
              <w:rPr>
                <w:rFonts w:eastAsia="Times New Roman" w:cstheme="minorHAnsi"/>
                <w:color w:val="000000"/>
                <w:sz w:val="18"/>
                <w:szCs w:val="18"/>
                <w:lang w:eastAsia="sl-SI"/>
              </w:rPr>
            </w:pPr>
          </w:p>
        </w:tc>
        <w:tc>
          <w:tcPr>
            <w:tcW w:w="439" w:type="dxa"/>
            <w:tcBorders>
              <w:top w:val="nil"/>
              <w:left w:val="single" w:sz="4" w:space="0" w:color="auto"/>
              <w:bottom w:val="single" w:sz="8" w:space="0" w:color="auto"/>
              <w:right w:val="single" w:sz="8" w:space="0" w:color="auto"/>
            </w:tcBorders>
            <w:shd w:val="clear" w:color="auto" w:fill="auto"/>
            <w:vAlign w:val="center"/>
          </w:tcPr>
          <w:p w14:paraId="4F4EF9C7" w14:textId="77777777" w:rsidR="00246302" w:rsidRPr="00F14868" w:rsidRDefault="00246302" w:rsidP="00206F16">
            <w:pPr>
              <w:spacing w:after="0" w:line="240" w:lineRule="auto"/>
              <w:jc w:val="center"/>
              <w:rPr>
                <w:rFonts w:eastAsia="Times New Roman" w:cstheme="minorHAnsi"/>
                <w:color w:val="000000"/>
                <w:sz w:val="18"/>
                <w:szCs w:val="18"/>
                <w:lang w:eastAsia="sl-SI"/>
              </w:rPr>
            </w:pPr>
          </w:p>
        </w:tc>
      </w:tr>
      <w:tr w:rsidR="00246302" w:rsidRPr="00F14868" w14:paraId="05A588C2" w14:textId="77777777" w:rsidTr="00206F16">
        <w:trPr>
          <w:trHeight w:val="50"/>
          <w:jc w:val="center"/>
        </w:trPr>
        <w:tc>
          <w:tcPr>
            <w:tcW w:w="105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2B244DAD" w14:textId="77777777" w:rsidR="00246302" w:rsidRPr="00F14868" w:rsidRDefault="00246302" w:rsidP="00206F16">
            <w:pPr>
              <w:spacing w:after="0" w:line="240" w:lineRule="auto"/>
              <w:rPr>
                <w:rFonts w:ascii="Calibri" w:eastAsia="Times New Roman" w:hAnsi="Calibri" w:cs="Calibri"/>
                <w:color w:val="000000"/>
                <w:sz w:val="18"/>
                <w:szCs w:val="18"/>
                <w:lang w:eastAsia="sl-SI"/>
              </w:rPr>
            </w:pPr>
            <w:r w:rsidRPr="00482C72">
              <w:rPr>
                <w:rFonts w:ascii="Calibri" w:eastAsia="Times New Roman" w:hAnsi="Calibri" w:cs="Calibri"/>
                <w:color w:val="000000"/>
                <w:sz w:val="18"/>
                <w:szCs w:val="18"/>
                <w:lang w:eastAsia="sl-SI"/>
              </w:rPr>
              <w:t>Državna potrošnja</w:t>
            </w:r>
          </w:p>
        </w:tc>
        <w:tc>
          <w:tcPr>
            <w:tcW w:w="414" w:type="dxa"/>
            <w:tcBorders>
              <w:top w:val="nil"/>
              <w:left w:val="nil"/>
              <w:bottom w:val="single" w:sz="8" w:space="0" w:color="auto"/>
              <w:right w:val="single" w:sz="8" w:space="0" w:color="auto"/>
            </w:tcBorders>
            <w:shd w:val="clear" w:color="auto" w:fill="auto"/>
            <w:vAlign w:val="center"/>
          </w:tcPr>
          <w:p w14:paraId="2AC4BD24"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1</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4</w:t>
            </w:r>
          </w:p>
        </w:tc>
        <w:tc>
          <w:tcPr>
            <w:tcW w:w="379" w:type="dxa"/>
            <w:tcBorders>
              <w:top w:val="nil"/>
              <w:left w:val="nil"/>
              <w:bottom w:val="single" w:sz="8" w:space="0" w:color="auto"/>
              <w:right w:val="single" w:sz="8" w:space="0" w:color="auto"/>
            </w:tcBorders>
            <w:shd w:val="clear" w:color="auto" w:fill="auto"/>
            <w:vAlign w:val="center"/>
          </w:tcPr>
          <w:p w14:paraId="5898D901"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1</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7</w:t>
            </w:r>
          </w:p>
        </w:tc>
        <w:tc>
          <w:tcPr>
            <w:tcW w:w="387" w:type="dxa"/>
            <w:tcBorders>
              <w:top w:val="nil"/>
              <w:left w:val="nil"/>
              <w:bottom w:val="single" w:sz="8" w:space="0" w:color="auto"/>
              <w:right w:val="single" w:sz="8" w:space="0" w:color="auto"/>
            </w:tcBorders>
            <w:shd w:val="clear" w:color="auto" w:fill="auto"/>
            <w:vAlign w:val="center"/>
          </w:tcPr>
          <w:p w14:paraId="7AC9EDC7"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1</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9</w:t>
            </w:r>
          </w:p>
        </w:tc>
        <w:tc>
          <w:tcPr>
            <w:tcW w:w="503" w:type="dxa"/>
            <w:tcBorders>
              <w:top w:val="nil"/>
              <w:left w:val="nil"/>
              <w:bottom w:val="single" w:sz="8" w:space="0" w:color="auto"/>
              <w:right w:val="single" w:sz="8" w:space="0" w:color="auto"/>
            </w:tcBorders>
            <w:shd w:val="clear" w:color="auto" w:fill="auto"/>
            <w:vAlign w:val="center"/>
          </w:tcPr>
          <w:p w14:paraId="2FB3D325"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p>
        </w:tc>
        <w:tc>
          <w:tcPr>
            <w:tcW w:w="390" w:type="dxa"/>
            <w:tcBorders>
              <w:top w:val="nil"/>
              <w:left w:val="nil"/>
              <w:bottom w:val="single" w:sz="8" w:space="0" w:color="auto"/>
              <w:right w:val="single" w:sz="8" w:space="0" w:color="auto"/>
            </w:tcBorders>
            <w:shd w:val="clear" w:color="auto" w:fill="auto"/>
            <w:vAlign w:val="center"/>
          </w:tcPr>
          <w:p w14:paraId="20B802FE"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p>
        </w:tc>
        <w:tc>
          <w:tcPr>
            <w:tcW w:w="368" w:type="dxa"/>
            <w:tcBorders>
              <w:top w:val="nil"/>
              <w:left w:val="nil"/>
              <w:bottom w:val="single" w:sz="8" w:space="0" w:color="auto"/>
              <w:right w:val="single" w:sz="8" w:space="0" w:color="auto"/>
            </w:tcBorders>
            <w:shd w:val="clear" w:color="auto" w:fill="auto"/>
            <w:vAlign w:val="center"/>
          </w:tcPr>
          <w:p w14:paraId="4E5787DD"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0</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6</w:t>
            </w:r>
          </w:p>
        </w:tc>
        <w:tc>
          <w:tcPr>
            <w:tcW w:w="368" w:type="dxa"/>
            <w:tcBorders>
              <w:top w:val="nil"/>
              <w:left w:val="nil"/>
              <w:bottom w:val="single" w:sz="8" w:space="0" w:color="auto"/>
              <w:right w:val="single" w:sz="8" w:space="0" w:color="auto"/>
            </w:tcBorders>
            <w:shd w:val="clear" w:color="auto" w:fill="auto"/>
            <w:vAlign w:val="center"/>
          </w:tcPr>
          <w:p w14:paraId="0F040EF7"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1</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3</w:t>
            </w:r>
          </w:p>
        </w:tc>
        <w:tc>
          <w:tcPr>
            <w:tcW w:w="325" w:type="dxa"/>
            <w:tcBorders>
              <w:top w:val="nil"/>
              <w:left w:val="nil"/>
              <w:bottom w:val="single" w:sz="8" w:space="0" w:color="auto"/>
              <w:right w:val="single" w:sz="8" w:space="0" w:color="auto"/>
            </w:tcBorders>
            <w:shd w:val="clear" w:color="auto" w:fill="auto"/>
            <w:vAlign w:val="center"/>
          </w:tcPr>
          <w:p w14:paraId="29BEDFDD"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0</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6</w:t>
            </w:r>
          </w:p>
        </w:tc>
        <w:tc>
          <w:tcPr>
            <w:tcW w:w="368" w:type="dxa"/>
            <w:tcBorders>
              <w:top w:val="nil"/>
              <w:left w:val="nil"/>
              <w:bottom w:val="single" w:sz="8" w:space="0" w:color="auto"/>
              <w:right w:val="single" w:sz="8" w:space="0" w:color="auto"/>
            </w:tcBorders>
            <w:shd w:val="clear" w:color="auto" w:fill="auto"/>
            <w:vAlign w:val="center"/>
          </w:tcPr>
          <w:p w14:paraId="1A9EFBBA" w14:textId="77777777" w:rsidR="00246302" w:rsidRPr="00F14868" w:rsidRDefault="00246302" w:rsidP="00206F16">
            <w:pPr>
              <w:spacing w:after="0" w:line="240" w:lineRule="auto"/>
              <w:jc w:val="center"/>
              <w:rPr>
                <w:rFonts w:ascii="Calibri" w:eastAsia="Times New Roman" w:hAnsi="Calibri" w:cs="Calibri"/>
                <w:sz w:val="18"/>
                <w:szCs w:val="18"/>
                <w:lang w:eastAsia="sl-SI"/>
              </w:rPr>
            </w:pPr>
            <w:r w:rsidRPr="00F14868">
              <w:rPr>
                <w:rFonts w:ascii="Calibri" w:eastAsia="Times New Roman" w:hAnsi="Calibri" w:cs="Calibri"/>
                <w:sz w:val="18"/>
                <w:szCs w:val="18"/>
                <w:lang w:eastAsia="sl-SI"/>
              </w:rPr>
              <w:t>0</w:t>
            </w:r>
            <w:r w:rsidRPr="00482C72">
              <w:rPr>
                <w:rFonts w:ascii="Calibri" w:eastAsia="Times New Roman" w:hAnsi="Calibri" w:cs="Calibri"/>
                <w:sz w:val="18"/>
                <w:szCs w:val="18"/>
                <w:lang w:eastAsia="sl-SI"/>
              </w:rPr>
              <w:t>,</w:t>
            </w:r>
            <w:r w:rsidRPr="00F14868">
              <w:rPr>
                <w:rFonts w:ascii="Calibri" w:eastAsia="Times New Roman" w:hAnsi="Calibri" w:cs="Calibri"/>
                <w:sz w:val="18"/>
                <w:szCs w:val="18"/>
                <w:lang w:eastAsia="sl-SI"/>
              </w:rPr>
              <w:t>7</w:t>
            </w:r>
          </w:p>
        </w:tc>
        <w:tc>
          <w:tcPr>
            <w:tcW w:w="378" w:type="dxa"/>
            <w:tcBorders>
              <w:top w:val="nil"/>
              <w:left w:val="nil"/>
              <w:bottom w:val="single" w:sz="8" w:space="0" w:color="auto"/>
              <w:right w:val="single" w:sz="8" w:space="0" w:color="auto"/>
            </w:tcBorders>
            <w:shd w:val="clear" w:color="auto" w:fill="auto"/>
            <w:vAlign w:val="center"/>
          </w:tcPr>
          <w:p w14:paraId="602BCB43" w14:textId="77777777" w:rsidR="00246302" w:rsidRPr="00F14868" w:rsidRDefault="00246302" w:rsidP="00206F16">
            <w:pPr>
              <w:spacing w:after="0" w:line="240" w:lineRule="auto"/>
              <w:jc w:val="center"/>
              <w:rPr>
                <w:rFonts w:ascii="Calibri" w:eastAsia="Times New Roman" w:hAnsi="Calibri" w:cs="Calibri"/>
                <w:sz w:val="18"/>
                <w:szCs w:val="18"/>
                <w:lang w:eastAsia="sl-SI"/>
              </w:rPr>
            </w:pPr>
            <w:r w:rsidRPr="00F14868">
              <w:rPr>
                <w:rFonts w:ascii="Calibri" w:eastAsia="Times New Roman" w:hAnsi="Calibri" w:cs="Calibri"/>
                <w:sz w:val="18"/>
                <w:szCs w:val="18"/>
                <w:lang w:eastAsia="sl-SI"/>
              </w:rPr>
              <w:t>1</w:t>
            </w:r>
            <w:r w:rsidRPr="00482C72">
              <w:rPr>
                <w:rFonts w:ascii="Calibri" w:eastAsia="Times New Roman" w:hAnsi="Calibri" w:cs="Calibri"/>
                <w:sz w:val="18"/>
                <w:szCs w:val="18"/>
                <w:lang w:eastAsia="sl-SI"/>
              </w:rPr>
              <w:t>,</w:t>
            </w:r>
            <w:r w:rsidRPr="00F14868">
              <w:rPr>
                <w:rFonts w:ascii="Calibri" w:eastAsia="Times New Roman" w:hAnsi="Calibri" w:cs="Calibri"/>
                <w:sz w:val="18"/>
                <w:szCs w:val="18"/>
                <w:lang w:eastAsia="sl-SI"/>
              </w:rPr>
              <w:t>0</w:t>
            </w:r>
          </w:p>
        </w:tc>
        <w:tc>
          <w:tcPr>
            <w:tcW w:w="362" w:type="dxa"/>
            <w:tcBorders>
              <w:top w:val="nil"/>
              <w:left w:val="nil"/>
              <w:bottom w:val="single" w:sz="8" w:space="0" w:color="auto"/>
              <w:right w:val="single" w:sz="8" w:space="0" w:color="auto"/>
            </w:tcBorders>
            <w:shd w:val="clear" w:color="auto" w:fill="auto"/>
            <w:vAlign w:val="center"/>
          </w:tcPr>
          <w:p w14:paraId="0B21A821" w14:textId="77777777" w:rsidR="00246302" w:rsidRPr="00F14868" w:rsidRDefault="00246302" w:rsidP="00206F16">
            <w:pPr>
              <w:spacing w:after="0" w:line="240" w:lineRule="auto"/>
              <w:jc w:val="center"/>
              <w:rPr>
                <w:rFonts w:ascii="Calibri" w:eastAsia="Times New Roman" w:hAnsi="Calibri" w:cs="Calibri"/>
                <w:sz w:val="18"/>
                <w:szCs w:val="18"/>
                <w:lang w:eastAsia="sl-SI"/>
              </w:rPr>
            </w:pPr>
            <w:r w:rsidRPr="00F14868">
              <w:rPr>
                <w:rFonts w:ascii="Calibri" w:eastAsia="Times New Roman" w:hAnsi="Calibri" w:cs="Calibri"/>
                <w:sz w:val="18"/>
                <w:szCs w:val="18"/>
                <w:lang w:eastAsia="sl-SI"/>
              </w:rPr>
              <w:t>0</w:t>
            </w:r>
            <w:r w:rsidRPr="00482C72">
              <w:rPr>
                <w:rFonts w:ascii="Calibri" w:eastAsia="Times New Roman" w:hAnsi="Calibri" w:cs="Calibri"/>
                <w:sz w:val="18"/>
                <w:szCs w:val="18"/>
                <w:lang w:eastAsia="sl-SI"/>
              </w:rPr>
              <w:t>,</w:t>
            </w:r>
            <w:r w:rsidRPr="00F14868">
              <w:rPr>
                <w:rFonts w:ascii="Calibri" w:eastAsia="Times New Roman" w:hAnsi="Calibri" w:cs="Calibri"/>
                <w:sz w:val="18"/>
                <w:szCs w:val="18"/>
                <w:lang w:eastAsia="sl-SI"/>
              </w:rPr>
              <w:t>8</w:t>
            </w:r>
          </w:p>
        </w:tc>
        <w:tc>
          <w:tcPr>
            <w:tcW w:w="394" w:type="dxa"/>
            <w:tcBorders>
              <w:top w:val="nil"/>
              <w:left w:val="nil"/>
              <w:bottom w:val="single" w:sz="8" w:space="0" w:color="auto"/>
              <w:right w:val="single" w:sz="8" w:space="0" w:color="auto"/>
            </w:tcBorders>
            <w:shd w:val="clear" w:color="auto" w:fill="auto"/>
            <w:vAlign w:val="center"/>
          </w:tcPr>
          <w:p w14:paraId="253BA4D9" w14:textId="77777777" w:rsidR="00246302" w:rsidRPr="00F14868" w:rsidRDefault="00246302" w:rsidP="00206F16">
            <w:pPr>
              <w:spacing w:after="0" w:line="240" w:lineRule="auto"/>
              <w:jc w:val="center"/>
              <w:rPr>
                <w:rFonts w:ascii="Calibri" w:eastAsia="Times New Roman" w:hAnsi="Calibri" w:cs="Calibri"/>
                <w:sz w:val="18"/>
                <w:szCs w:val="18"/>
                <w:lang w:eastAsia="sl-SI"/>
              </w:rPr>
            </w:pPr>
            <w:r w:rsidRPr="00F14868">
              <w:rPr>
                <w:rFonts w:ascii="Calibri" w:eastAsia="Times New Roman" w:hAnsi="Calibri" w:cs="Calibri"/>
                <w:sz w:val="18"/>
                <w:szCs w:val="18"/>
                <w:lang w:eastAsia="sl-SI"/>
              </w:rPr>
              <w:t>0</w:t>
            </w:r>
            <w:r w:rsidRPr="00482C72">
              <w:rPr>
                <w:rFonts w:ascii="Calibri" w:eastAsia="Times New Roman" w:hAnsi="Calibri" w:cs="Calibri"/>
                <w:sz w:val="18"/>
                <w:szCs w:val="18"/>
                <w:lang w:eastAsia="sl-SI"/>
              </w:rPr>
              <w:t>,</w:t>
            </w:r>
            <w:r w:rsidRPr="00F14868">
              <w:rPr>
                <w:rFonts w:ascii="Calibri" w:eastAsia="Times New Roman" w:hAnsi="Calibri" w:cs="Calibri"/>
                <w:sz w:val="18"/>
                <w:szCs w:val="18"/>
                <w:lang w:eastAsia="sl-SI"/>
              </w:rPr>
              <w:t>7</w:t>
            </w:r>
          </w:p>
        </w:tc>
        <w:tc>
          <w:tcPr>
            <w:tcW w:w="394" w:type="dxa"/>
            <w:tcBorders>
              <w:top w:val="nil"/>
              <w:left w:val="nil"/>
              <w:bottom w:val="single" w:sz="8" w:space="0" w:color="auto"/>
              <w:right w:val="single" w:sz="4" w:space="0" w:color="auto"/>
            </w:tcBorders>
            <w:shd w:val="clear" w:color="auto" w:fill="auto"/>
            <w:vAlign w:val="center"/>
          </w:tcPr>
          <w:p w14:paraId="7C2FEEC5" w14:textId="77777777" w:rsidR="00246302" w:rsidRPr="00F14868" w:rsidRDefault="00246302" w:rsidP="00206F16">
            <w:pPr>
              <w:spacing w:after="0" w:line="240" w:lineRule="auto"/>
              <w:jc w:val="center"/>
              <w:rPr>
                <w:rFonts w:ascii="Calibri" w:eastAsia="Times New Roman" w:hAnsi="Calibri" w:cs="Calibri"/>
                <w:sz w:val="18"/>
                <w:szCs w:val="18"/>
                <w:lang w:eastAsia="sl-SI"/>
              </w:rPr>
            </w:pPr>
            <w:r w:rsidRPr="00F14868">
              <w:rPr>
                <w:rFonts w:ascii="Calibri" w:eastAsia="Times New Roman" w:hAnsi="Calibri" w:cs="Calibri"/>
                <w:sz w:val="18"/>
                <w:szCs w:val="18"/>
                <w:lang w:eastAsia="sl-SI"/>
              </w:rPr>
              <w:t>1</w:t>
            </w:r>
            <w:r w:rsidRPr="00482C72">
              <w:rPr>
                <w:rFonts w:ascii="Calibri" w:eastAsia="Times New Roman" w:hAnsi="Calibri" w:cs="Calibri"/>
                <w:sz w:val="18"/>
                <w:szCs w:val="18"/>
                <w:lang w:eastAsia="sl-SI"/>
              </w:rPr>
              <w:t>,</w:t>
            </w:r>
            <w:r w:rsidRPr="00F14868">
              <w:rPr>
                <w:rFonts w:ascii="Calibri" w:eastAsia="Times New Roman" w:hAnsi="Calibri" w:cs="Calibri"/>
                <w:sz w:val="18"/>
                <w:szCs w:val="18"/>
                <w:lang w:eastAsia="sl-SI"/>
              </w:rPr>
              <w:t>2</w:t>
            </w:r>
          </w:p>
        </w:tc>
        <w:tc>
          <w:tcPr>
            <w:tcW w:w="395" w:type="dxa"/>
            <w:tcBorders>
              <w:top w:val="nil"/>
              <w:left w:val="single" w:sz="4" w:space="0" w:color="auto"/>
              <w:bottom w:val="single" w:sz="8" w:space="0" w:color="auto"/>
              <w:right w:val="single" w:sz="8" w:space="0" w:color="auto"/>
            </w:tcBorders>
            <w:shd w:val="clear" w:color="auto" w:fill="auto"/>
            <w:vAlign w:val="center"/>
          </w:tcPr>
          <w:p w14:paraId="55E808E1" w14:textId="77777777" w:rsidR="00246302" w:rsidRPr="00F14868" w:rsidRDefault="00246302" w:rsidP="00206F16">
            <w:pPr>
              <w:spacing w:after="0" w:line="240" w:lineRule="auto"/>
              <w:jc w:val="center"/>
              <w:rPr>
                <w:rFonts w:ascii="Calibri" w:eastAsia="Times New Roman" w:hAnsi="Calibri" w:cs="Calibri"/>
                <w:sz w:val="18"/>
                <w:szCs w:val="18"/>
                <w:lang w:eastAsia="sl-SI"/>
              </w:rPr>
            </w:pPr>
            <w:r w:rsidRPr="00F14868">
              <w:rPr>
                <w:rFonts w:ascii="Calibri" w:eastAsia="Times New Roman" w:hAnsi="Calibri" w:cs="Calibri"/>
                <w:sz w:val="18"/>
                <w:szCs w:val="18"/>
                <w:lang w:eastAsia="sl-SI"/>
              </w:rPr>
              <w:t>2</w:t>
            </w:r>
            <w:r w:rsidRPr="00482C72">
              <w:rPr>
                <w:rFonts w:ascii="Calibri" w:eastAsia="Times New Roman" w:hAnsi="Calibri" w:cs="Calibri"/>
                <w:sz w:val="18"/>
                <w:szCs w:val="18"/>
                <w:lang w:eastAsia="sl-SI"/>
              </w:rPr>
              <w:t>,</w:t>
            </w:r>
            <w:r w:rsidRPr="00F14868">
              <w:rPr>
                <w:rFonts w:ascii="Calibri" w:eastAsia="Times New Roman" w:hAnsi="Calibri" w:cs="Calibri"/>
                <w:sz w:val="18"/>
                <w:szCs w:val="18"/>
                <w:lang w:eastAsia="sl-SI"/>
              </w:rPr>
              <w:t>6</w:t>
            </w:r>
          </w:p>
        </w:tc>
        <w:tc>
          <w:tcPr>
            <w:tcW w:w="400" w:type="dxa"/>
            <w:tcBorders>
              <w:top w:val="nil"/>
              <w:left w:val="single" w:sz="4" w:space="0" w:color="auto"/>
              <w:bottom w:val="single" w:sz="8" w:space="0" w:color="auto"/>
              <w:right w:val="single" w:sz="8" w:space="0" w:color="auto"/>
            </w:tcBorders>
            <w:shd w:val="clear" w:color="auto" w:fill="auto"/>
            <w:vAlign w:val="center"/>
          </w:tcPr>
          <w:p w14:paraId="41A98FC2" w14:textId="77777777" w:rsidR="00246302" w:rsidRPr="00F14868" w:rsidRDefault="00246302" w:rsidP="00206F16">
            <w:pPr>
              <w:spacing w:after="0" w:line="240" w:lineRule="auto"/>
              <w:jc w:val="center"/>
              <w:rPr>
                <w:rFonts w:ascii="Calibri" w:eastAsia="Times New Roman" w:hAnsi="Calibri" w:cs="Calibri"/>
                <w:sz w:val="18"/>
                <w:szCs w:val="18"/>
                <w:lang w:eastAsia="sl-SI"/>
              </w:rPr>
            </w:pPr>
            <w:r w:rsidRPr="00F14868">
              <w:rPr>
                <w:rFonts w:ascii="Calibri" w:eastAsia="Times New Roman" w:hAnsi="Calibri" w:cs="Calibri"/>
                <w:sz w:val="18"/>
                <w:szCs w:val="18"/>
                <w:lang w:eastAsia="sl-SI"/>
              </w:rPr>
              <w:t>2</w:t>
            </w:r>
            <w:r w:rsidRPr="00482C72">
              <w:rPr>
                <w:rFonts w:ascii="Calibri" w:eastAsia="Times New Roman" w:hAnsi="Calibri" w:cs="Calibri"/>
                <w:sz w:val="18"/>
                <w:szCs w:val="18"/>
                <w:lang w:eastAsia="sl-SI"/>
              </w:rPr>
              <w:t>,</w:t>
            </w:r>
            <w:r w:rsidRPr="00F14868">
              <w:rPr>
                <w:rFonts w:ascii="Calibri" w:eastAsia="Times New Roman" w:hAnsi="Calibri" w:cs="Calibri"/>
                <w:sz w:val="18"/>
                <w:szCs w:val="18"/>
                <w:lang w:eastAsia="sl-SI"/>
              </w:rPr>
              <w:t>1</w:t>
            </w:r>
          </w:p>
        </w:tc>
        <w:tc>
          <w:tcPr>
            <w:tcW w:w="484" w:type="dxa"/>
            <w:tcBorders>
              <w:top w:val="nil"/>
              <w:left w:val="single" w:sz="4" w:space="0" w:color="auto"/>
              <w:bottom w:val="single" w:sz="8" w:space="0" w:color="auto"/>
              <w:right w:val="single" w:sz="8" w:space="0" w:color="auto"/>
            </w:tcBorders>
            <w:shd w:val="clear" w:color="auto" w:fill="auto"/>
            <w:vAlign w:val="center"/>
          </w:tcPr>
          <w:p w14:paraId="20FCCE29"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0</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9</w:t>
            </w:r>
          </w:p>
        </w:tc>
        <w:tc>
          <w:tcPr>
            <w:tcW w:w="394" w:type="dxa"/>
            <w:tcBorders>
              <w:top w:val="nil"/>
              <w:left w:val="single" w:sz="4" w:space="0" w:color="auto"/>
              <w:bottom w:val="single" w:sz="8" w:space="0" w:color="auto"/>
              <w:right w:val="single" w:sz="8" w:space="0" w:color="auto"/>
            </w:tcBorders>
            <w:shd w:val="clear" w:color="auto" w:fill="auto"/>
            <w:vAlign w:val="center"/>
          </w:tcPr>
          <w:p w14:paraId="1D7DB5B7"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1</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2</w:t>
            </w:r>
          </w:p>
        </w:tc>
        <w:tc>
          <w:tcPr>
            <w:tcW w:w="458" w:type="dxa"/>
            <w:tcBorders>
              <w:top w:val="nil"/>
              <w:left w:val="single" w:sz="4" w:space="0" w:color="auto"/>
              <w:bottom w:val="single" w:sz="8" w:space="0" w:color="auto"/>
              <w:right w:val="single" w:sz="8" w:space="0" w:color="auto"/>
            </w:tcBorders>
            <w:shd w:val="clear" w:color="auto" w:fill="auto"/>
            <w:vAlign w:val="center"/>
          </w:tcPr>
          <w:p w14:paraId="7AB0F782"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1</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8</w:t>
            </w:r>
          </w:p>
        </w:tc>
        <w:tc>
          <w:tcPr>
            <w:tcW w:w="332" w:type="dxa"/>
            <w:tcBorders>
              <w:top w:val="nil"/>
              <w:left w:val="single" w:sz="4" w:space="0" w:color="auto"/>
              <w:bottom w:val="single" w:sz="8" w:space="0" w:color="auto"/>
              <w:right w:val="single" w:sz="8" w:space="0" w:color="auto"/>
            </w:tcBorders>
            <w:shd w:val="clear" w:color="auto" w:fill="auto"/>
            <w:vAlign w:val="center"/>
          </w:tcPr>
          <w:p w14:paraId="721421BF"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1</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9</w:t>
            </w:r>
          </w:p>
        </w:tc>
        <w:tc>
          <w:tcPr>
            <w:tcW w:w="394" w:type="dxa"/>
            <w:tcBorders>
              <w:top w:val="nil"/>
              <w:left w:val="single" w:sz="4" w:space="0" w:color="auto"/>
              <w:bottom w:val="single" w:sz="8" w:space="0" w:color="auto"/>
              <w:right w:val="single" w:sz="8" w:space="0" w:color="auto"/>
            </w:tcBorders>
            <w:shd w:val="clear" w:color="auto" w:fill="auto"/>
            <w:vAlign w:val="center"/>
          </w:tcPr>
          <w:p w14:paraId="095F8F68" w14:textId="77777777" w:rsidR="00246302" w:rsidRPr="00F14868" w:rsidRDefault="00246302" w:rsidP="00206F16">
            <w:pPr>
              <w:spacing w:after="0" w:line="240" w:lineRule="auto"/>
              <w:jc w:val="center"/>
              <w:rPr>
                <w:rFonts w:eastAsia="Times New Roman" w:cstheme="minorHAnsi"/>
                <w:sz w:val="18"/>
                <w:szCs w:val="18"/>
                <w:lang w:eastAsia="sl-SI"/>
              </w:rPr>
            </w:pPr>
          </w:p>
        </w:tc>
        <w:tc>
          <w:tcPr>
            <w:tcW w:w="394" w:type="dxa"/>
            <w:tcBorders>
              <w:top w:val="nil"/>
              <w:left w:val="single" w:sz="4" w:space="0" w:color="auto"/>
              <w:bottom w:val="single" w:sz="8" w:space="0" w:color="auto"/>
              <w:right w:val="single" w:sz="8" w:space="0" w:color="auto"/>
            </w:tcBorders>
            <w:shd w:val="clear" w:color="auto" w:fill="auto"/>
            <w:vAlign w:val="center"/>
          </w:tcPr>
          <w:p w14:paraId="320D355D" w14:textId="77777777" w:rsidR="00246302" w:rsidRPr="00F14868" w:rsidRDefault="00246302" w:rsidP="00206F16">
            <w:pPr>
              <w:spacing w:after="0" w:line="240" w:lineRule="auto"/>
              <w:jc w:val="center"/>
              <w:rPr>
                <w:rFonts w:eastAsia="Times New Roman" w:cstheme="minorHAnsi"/>
                <w:sz w:val="18"/>
                <w:szCs w:val="18"/>
                <w:lang w:eastAsia="sl-SI"/>
              </w:rPr>
            </w:pPr>
          </w:p>
        </w:tc>
        <w:tc>
          <w:tcPr>
            <w:tcW w:w="439" w:type="dxa"/>
            <w:tcBorders>
              <w:top w:val="nil"/>
              <w:left w:val="single" w:sz="4" w:space="0" w:color="auto"/>
              <w:bottom w:val="single" w:sz="8" w:space="0" w:color="auto"/>
              <w:right w:val="single" w:sz="8" w:space="0" w:color="auto"/>
            </w:tcBorders>
            <w:shd w:val="clear" w:color="auto" w:fill="auto"/>
            <w:vAlign w:val="center"/>
          </w:tcPr>
          <w:p w14:paraId="3FC50D8C" w14:textId="77777777" w:rsidR="00246302" w:rsidRPr="00F14868" w:rsidRDefault="00246302" w:rsidP="00206F16">
            <w:pPr>
              <w:spacing w:after="0" w:line="240" w:lineRule="auto"/>
              <w:jc w:val="center"/>
              <w:rPr>
                <w:rFonts w:eastAsia="Times New Roman" w:cstheme="minorHAnsi"/>
                <w:sz w:val="18"/>
                <w:szCs w:val="18"/>
                <w:lang w:eastAsia="sl-SI"/>
              </w:rPr>
            </w:pPr>
          </w:p>
        </w:tc>
      </w:tr>
      <w:tr w:rsidR="00246302" w:rsidRPr="00F14868" w14:paraId="1424C7C9" w14:textId="77777777" w:rsidTr="00206F16">
        <w:trPr>
          <w:trHeight w:val="50"/>
          <w:jc w:val="center"/>
        </w:trPr>
        <w:tc>
          <w:tcPr>
            <w:tcW w:w="105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3A7C263C" w14:textId="77777777" w:rsidR="00246302" w:rsidRPr="00F14868" w:rsidRDefault="00246302" w:rsidP="00206F16">
            <w:pPr>
              <w:spacing w:after="0" w:line="240" w:lineRule="auto"/>
              <w:rPr>
                <w:rFonts w:ascii="Calibri" w:eastAsia="Times New Roman" w:hAnsi="Calibri" w:cs="Calibri"/>
                <w:color w:val="000000"/>
                <w:sz w:val="18"/>
                <w:szCs w:val="18"/>
                <w:lang w:eastAsia="sl-SI"/>
              </w:rPr>
            </w:pPr>
            <w:r w:rsidRPr="00482C72">
              <w:rPr>
                <w:rFonts w:ascii="Calibri" w:eastAsia="Times New Roman" w:hAnsi="Calibri" w:cs="Calibri"/>
                <w:sz w:val="18"/>
                <w:szCs w:val="18"/>
                <w:lang w:eastAsia="sl-SI"/>
              </w:rPr>
              <w:t>Bruto investicije v osnovna sredstva</w:t>
            </w:r>
          </w:p>
        </w:tc>
        <w:tc>
          <w:tcPr>
            <w:tcW w:w="414" w:type="dxa"/>
            <w:tcBorders>
              <w:top w:val="nil"/>
              <w:left w:val="nil"/>
              <w:bottom w:val="single" w:sz="8" w:space="0" w:color="auto"/>
              <w:right w:val="single" w:sz="8" w:space="0" w:color="auto"/>
            </w:tcBorders>
            <w:shd w:val="clear" w:color="auto" w:fill="auto"/>
            <w:vAlign w:val="center"/>
          </w:tcPr>
          <w:p w14:paraId="47D3A8A2"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6</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5</w:t>
            </w:r>
          </w:p>
        </w:tc>
        <w:tc>
          <w:tcPr>
            <w:tcW w:w="379" w:type="dxa"/>
            <w:tcBorders>
              <w:top w:val="nil"/>
              <w:left w:val="nil"/>
              <w:bottom w:val="single" w:sz="8" w:space="0" w:color="auto"/>
              <w:right w:val="single" w:sz="8" w:space="0" w:color="auto"/>
            </w:tcBorders>
            <w:shd w:val="clear" w:color="auto" w:fill="auto"/>
            <w:vAlign w:val="center"/>
          </w:tcPr>
          <w:p w14:paraId="1DF92AB7"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5</w:t>
            </w:r>
          </w:p>
        </w:tc>
        <w:tc>
          <w:tcPr>
            <w:tcW w:w="387" w:type="dxa"/>
            <w:tcBorders>
              <w:top w:val="nil"/>
              <w:left w:val="nil"/>
              <w:bottom w:val="single" w:sz="8" w:space="0" w:color="auto"/>
              <w:right w:val="single" w:sz="8" w:space="0" w:color="auto"/>
            </w:tcBorders>
            <w:shd w:val="clear" w:color="auto" w:fill="auto"/>
            <w:vAlign w:val="center"/>
          </w:tcPr>
          <w:p w14:paraId="7AE87C7A"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0</w:t>
            </w:r>
          </w:p>
        </w:tc>
        <w:tc>
          <w:tcPr>
            <w:tcW w:w="503" w:type="dxa"/>
            <w:tcBorders>
              <w:top w:val="nil"/>
              <w:left w:val="nil"/>
              <w:bottom w:val="single" w:sz="8" w:space="0" w:color="auto"/>
              <w:right w:val="single" w:sz="8" w:space="0" w:color="auto"/>
            </w:tcBorders>
            <w:shd w:val="clear" w:color="auto" w:fill="auto"/>
            <w:vAlign w:val="center"/>
          </w:tcPr>
          <w:p w14:paraId="43FC57E5"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p>
        </w:tc>
        <w:tc>
          <w:tcPr>
            <w:tcW w:w="390" w:type="dxa"/>
            <w:tcBorders>
              <w:top w:val="nil"/>
              <w:left w:val="nil"/>
              <w:bottom w:val="single" w:sz="8" w:space="0" w:color="auto"/>
              <w:right w:val="single" w:sz="8" w:space="0" w:color="auto"/>
            </w:tcBorders>
            <w:shd w:val="clear" w:color="auto" w:fill="auto"/>
            <w:vAlign w:val="center"/>
          </w:tcPr>
          <w:p w14:paraId="42C4C488"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p>
        </w:tc>
        <w:tc>
          <w:tcPr>
            <w:tcW w:w="368" w:type="dxa"/>
            <w:tcBorders>
              <w:top w:val="nil"/>
              <w:left w:val="nil"/>
              <w:bottom w:val="single" w:sz="8" w:space="0" w:color="auto"/>
              <w:right w:val="single" w:sz="8" w:space="0" w:color="auto"/>
            </w:tcBorders>
            <w:shd w:val="clear" w:color="auto" w:fill="auto"/>
            <w:vAlign w:val="center"/>
          </w:tcPr>
          <w:p w14:paraId="11B4752B"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4</w:t>
            </w:r>
          </w:p>
        </w:tc>
        <w:tc>
          <w:tcPr>
            <w:tcW w:w="368" w:type="dxa"/>
            <w:tcBorders>
              <w:top w:val="nil"/>
              <w:left w:val="nil"/>
              <w:bottom w:val="single" w:sz="8" w:space="0" w:color="auto"/>
              <w:right w:val="single" w:sz="8" w:space="0" w:color="auto"/>
            </w:tcBorders>
            <w:shd w:val="clear" w:color="auto" w:fill="auto"/>
            <w:vAlign w:val="center"/>
          </w:tcPr>
          <w:p w14:paraId="52FFAB57"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-0</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6</w:t>
            </w:r>
          </w:p>
        </w:tc>
        <w:tc>
          <w:tcPr>
            <w:tcW w:w="325" w:type="dxa"/>
            <w:tcBorders>
              <w:top w:val="nil"/>
              <w:left w:val="nil"/>
              <w:bottom w:val="single" w:sz="8" w:space="0" w:color="auto"/>
              <w:right w:val="single" w:sz="8" w:space="0" w:color="auto"/>
            </w:tcBorders>
            <w:shd w:val="clear" w:color="auto" w:fill="auto"/>
            <w:vAlign w:val="center"/>
          </w:tcPr>
          <w:p w14:paraId="355D15B4"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5</w:t>
            </w:r>
          </w:p>
        </w:tc>
        <w:tc>
          <w:tcPr>
            <w:tcW w:w="368" w:type="dxa"/>
            <w:tcBorders>
              <w:top w:val="nil"/>
              <w:left w:val="nil"/>
              <w:bottom w:val="single" w:sz="8" w:space="0" w:color="auto"/>
              <w:right w:val="single" w:sz="8" w:space="0" w:color="auto"/>
            </w:tcBorders>
            <w:shd w:val="clear" w:color="auto" w:fill="auto"/>
            <w:vAlign w:val="center"/>
          </w:tcPr>
          <w:p w14:paraId="4F165FD9" w14:textId="77777777" w:rsidR="00246302" w:rsidRPr="00F14868" w:rsidRDefault="00246302" w:rsidP="00206F16">
            <w:pPr>
              <w:spacing w:after="0" w:line="240" w:lineRule="auto"/>
              <w:jc w:val="center"/>
              <w:rPr>
                <w:rFonts w:ascii="Calibri" w:eastAsia="Times New Roman" w:hAnsi="Calibri" w:cs="Calibri"/>
                <w:sz w:val="18"/>
                <w:szCs w:val="18"/>
                <w:lang w:eastAsia="sl-SI"/>
              </w:rPr>
            </w:pPr>
            <w:r w:rsidRPr="00F14868">
              <w:rPr>
                <w:rFonts w:ascii="Calibri" w:eastAsia="Times New Roman" w:hAnsi="Calibri" w:cs="Calibri"/>
                <w:sz w:val="18"/>
                <w:szCs w:val="18"/>
                <w:lang w:eastAsia="sl-SI"/>
              </w:rPr>
              <w:t>4</w:t>
            </w:r>
            <w:r w:rsidRPr="00482C72">
              <w:rPr>
                <w:rFonts w:ascii="Calibri" w:eastAsia="Times New Roman" w:hAnsi="Calibri" w:cs="Calibri"/>
                <w:sz w:val="18"/>
                <w:szCs w:val="18"/>
                <w:lang w:eastAsia="sl-SI"/>
              </w:rPr>
              <w:t>,</w:t>
            </w:r>
            <w:r w:rsidRPr="00F14868">
              <w:rPr>
                <w:rFonts w:ascii="Calibri" w:eastAsia="Times New Roman" w:hAnsi="Calibri" w:cs="Calibri"/>
                <w:sz w:val="18"/>
                <w:szCs w:val="18"/>
                <w:lang w:eastAsia="sl-SI"/>
              </w:rPr>
              <w:t>2</w:t>
            </w:r>
          </w:p>
        </w:tc>
        <w:tc>
          <w:tcPr>
            <w:tcW w:w="378" w:type="dxa"/>
            <w:tcBorders>
              <w:top w:val="nil"/>
              <w:left w:val="nil"/>
              <w:bottom w:val="single" w:sz="8" w:space="0" w:color="auto"/>
              <w:right w:val="single" w:sz="8" w:space="0" w:color="auto"/>
            </w:tcBorders>
            <w:shd w:val="clear" w:color="auto" w:fill="auto"/>
            <w:vAlign w:val="center"/>
          </w:tcPr>
          <w:p w14:paraId="2867F049" w14:textId="77777777" w:rsidR="00246302" w:rsidRPr="00F14868" w:rsidRDefault="00246302" w:rsidP="00206F16">
            <w:pPr>
              <w:spacing w:after="0" w:line="240" w:lineRule="auto"/>
              <w:jc w:val="center"/>
              <w:rPr>
                <w:rFonts w:ascii="Calibri" w:eastAsia="Times New Roman" w:hAnsi="Calibri" w:cs="Calibri"/>
                <w:sz w:val="18"/>
                <w:szCs w:val="18"/>
                <w:lang w:eastAsia="sl-SI"/>
              </w:rPr>
            </w:pPr>
            <w:r w:rsidRPr="00F14868">
              <w:rPr>
                <w:rFonts w:ascii="Calibri" w:eastAsia="Times New Roman" w:hAnsi="Calibri" w:cs="Calibri"/>
                <w:sz w:val="18"/>
                <w:szCs w:val="18"/>
                <w:lang w:eastAsia="sl-SI"/>
              </w:rPr>
              <w:t>0</w:t>
            </w:r>
            <w:r w:rsidRPr="00482C72">
              <w:rPr>
                <w:rFonts w:ascii="Calibri" w:eastAsia="Times New Roman" w:hAnsi="Calibri" w:cs="Calibri"/>
                <w:sz w:val="18"/>
                <w:szCs w:val="18"/>
                <w:lang w:eastAsia="sl-SI"/>
              </w:rPr>
              <w:t>,</w:t>
            </w:r>
            <w:r w:rsidRPr="00F14868">
              <w:rPr>
                <w:rFonts w:ascii="Calibri" w:eastAsia="Times New Roman" w:hAnsi="Calibri" w:cs="Calibri"/>
                <w:sz w:val="18"/>
                <w:szCs w:val="18"/>
                <w:lang w:eastAsia="sl-SI"/>
              </w:rPr>
              <w:t>9</w:t>
            </w:r>
          </w:p>
        </w:tc>
        <w:tc>
          <w:tcPr>
            <w:tcW w:w="362" w:type="dxa"/>
            <w:tcBorders>
              <w:top w:val="nil"/>
              <w:left w:val="nil"/>
              <w:bottom w:val="single" w:sz="8" w:space="0" w:color="auto"/>
              <w:right w:val="single" w:sz="8" w:space="0" w:color="auto"/>
            </w:tcBorders>
            <w:shd w:val="clear" w:color="auto" w:fill="auto"/>
            <w:vAlign w:val="center"/>
          </w:tcPr>
          <w:p w14:paraId="3679DBF0" w14:textId="77777777" w:rsidR="00246302" w:rsidRPr="00F14868" w:rsidRDefault="00246302" w:rsidP="00206F16">
            <w:pPr>
              <w:spacing w:after="0" w:line="240" w:lineRule="auto"/>
              <w:jc w:val="center"/>
              <w:rPr>
                <w:rFonts w:ascii="Calibri" w:eastAsia="Times New Roman" w:hAnsi="Calibri" w:cs="Calibri"/>
                <w:sz w:val="18"/>
                <w:szCs w:val="18"/>
                <w:lang w:eastAsia="sl-SI"/>
              </w:rPr>
            </w:pPr>
            <w:r w:rsidRPr="00F14868">
              <w:rPr>
                <w:rFonts w:ascii="Calibri" w:eastAsia="Times New Roman" w:hAnsi="Calibri" w:cs="Calibri"/>
                <w:sz w:val="18"/>
                <w:szCs w:val="18"/>
                <w:lang w:eastAsia="sl-SI"/>
              </w:rPr>
              <w:t>3</w:t>
            </w:r>
            <w:r w:rsidRPr="00482C72">
              <w:rPr>
                <w:rFonts w:ascii="Calibri" w:eastAsia="Times New Roman" w:hAnsi="Calibri" w:cs="Calibri"/>
                <w:sz w:val="18"/>
                <w:szCs w:val="18"/>
                <w:lang w:eastAsia="sl-SI"/>
              </w:rPr>
              <w:t>,</w:t>
            </w:r>
            <w:r w:rsidRPr="00F14868">
              <w:rPr>
                <w:rFonts w:ascii="Calibri" w:eastAsia="Times New Roman" w:hAnsi="Calibri" w:cs="Calibri"/>
                <w:sz w:val="18"/>
                <w:szCs w:val="18"/>
                <w:lang w:eastAsia="sl-SI"/>
              </w:rPr>
              <w:t>1</w:t>
            </w:r>
          </w:p>
        </w:tc>
        <w:tc>
          <w:tcPr>
            <w:tcW w:w="394" w:type="dxa"/>
            <w:tcBorders>
              <w:top w:val="nil"/>
              <w:left w:val="nil"/>
              <w:bottom w:val="single" w:sz="8" w:space="0" w:color="auto"/>
              <w:right w:val="single" w:sz="8" w:space="0" w:color="auto"/>
            </w:tcBorders>
            <w:shd w:val="clear" w:color="auto" w:fill="auto"/>
            <w:vAlign w:val="center"/>
          </w:tcPr>
          <w:p w14:paraId="7BF76199" w14:textId="77777777" w:rsidR="00246302" w:rsidRPr="00F14868" w:rsidRDefault="00246302" w:rsidP="00206F16">
            <w:pPr>
              <w:spacing w:after="0" w:line="240" w:lineRule="auto"/>
              <w:jc w:val="center"/>
              <w:rPr>
                <w:rFonts w:ascii="Calibri" w:eastAsia="Times New Roman" w:hAnsi="Calibri" w:cs="Calibri"/>
                <w:sz w:val="18"/>
                <w:szCs w:val="18"/>
                <w:lang w:eastAsia="sl-SI"/>
              </w:rPr>
            </w:pPr>
            <w:r w:rsidRPr="00F14868">
              <w:rPr>
                <w:rFonts w:ascii="Calibri" w:eastAsia="Times New Roman" w:hAnsi="Calibri" w:cs="Calibri"/>
                <w:sz w:val="18"/>
                <w:szCs w:val="18"/>
                <w:lang w:eastAsia="sl-SI"/>
              </w:rPr>
              <w:t>10</w:t>
            </w:r>
            <w:r w:rsidRPr="00482C72">
              <w:rPr>
                <w:rFonts w:ascii="Calibri" w:eastAsia="Times New Roman" w:hAnsi="Calibri" w:cs="Calibri"/>
                <w:sz w:val="18"/>
                <w:szCs w:val="18"/>
                <w:lang w:eastAsia="sl-SI"/>
              </w:rPr>
              <w:t>,</w:t>
            </w:r>
            <w:r w:rsidRPr="00F14868">
              <w:rPr>
                <w:rFonts w:ascii="Calibri" w:eastAsia="Times New Roman" w:hAnsi="Calibri" w:cs="Calibri"/>
                <w:sz w:val="18"/>
                <w:szCs w:val="18"/>
                <w:lang w:eastAsia="sl-SI"/>
              </w:rPr>
              <w:t>0</w:t>
            </w:r>
          </w:p>
        </w:tc>
        <w:tc>
          <w:tcPr>
            <w:tcW w:w="394" w:type="dxa"/>
            <w:tcBorders>
              <w:top w:val="nil"/>
              <w:left w:val="nil"/>
              <w:bottom w:val="single" w:sz="8" w:space="0" w:color="auto"/>
              <w:right w:val="single" w:sz="4" w:space="0" w:color="auto"/>
            </w:tcBorders>
            <w:shd w:val="clear" w:color="auto" w:fill="auto"/>
            <w:vAlign w:val="center"/>
          </w:tcPr>
          <w:p w14:paraId="5C681B7F" w14:textId="77777777" w:rsidR="00246302" w:rsidRPr="00F14868" w:rsidRDefault="00246302" w:rsidP="00206F16">
            <w:pPr>
              <w:spacing w:after="0" w:line="240" w:lineRule="auto"/>
              <w:jc w:val="center"/>
              <w:rPr>
                <w:rFonts w:ascii="Calibri" w:eastAsia="Times New Roman" w:hAnsi="Calibri" w:cs="Calibri"/>
                <w:sz w:val="18"/>
                <w:szCs w:val="18"/>
                <w:lang w:eastAsia="sl-SI"/>
              </w:rPr>
            </w:pPr>
            <w:r w:rsidRPr="00F14868">
              <w:rPr>
                <w:rFonts w:ascii="Calibri" w:eastAsia="Times New Roman" w:hAnsi="Calibri" w:cs="Calibri"/>
                <w:sz w:val="18"/>
                <w:szCs w:val="18"/>
                <w:lang w:eastAsia="sl-SI"/>
              </w:rPr>
              <w:t>1</w:t>
            </w:r>
            <w:r w:rsidRPr="00482C72">
              <w:rPr>
                <w:rFonts w:ascii="Calibri" w:eastAsia="Times New Roman" w:hAnsi="Calibri" w:cs="Calibri"/>
                <w:sz w:val="18"/>
                <w:szCs w:val="18"/>
                <w:lang w:eastAsia="sl-SI"/>
              </w:rPr>
              <w:t>,</w:t>
            </w:r>
            <w:r w:rsidRPr="00F14868">
              <w:rPr>
                <w:rFonts w:ascii="Calibri" w:eastAsia="Times New Roman" w:hAnsi="Calibri" w:cs="Calibri"/>
                <w:sz w:val="18"/>
                <w:szCs w:val="18"/>
                <w:lang w:eastAsia="sl-SI"/>
              </w:rPr>
              <w:t>3</w:t>
            </w:r>
          </w:p>
        </w:tc>
        <w:tc>
          <w:tcPr>
            <w:tcW w:w="395" w:type="dxa"/>
            <w:tcBorders>
              <w:top w:val="nil"/>
              <w:left w:val="single" w:sz="4" w:space="0" w:color="auto"/>
              <w:bottom w:val="single" w:sz="8" w:space="0" w:color="auto"/>
              <w:right w:val="single" w:sz="8" w:space="0" w:color="auto"/>
            </w:tcBorders>
            <w:shd w:val="clear" w:color="auto" w:fill="auto"/>
            <w:vAlign w:val="center"/>
          </w:tcPr>
          <w:p w14:paraId="20F3CD27" w14:textId="77777777" w:rsidR="00246302" w:rsidRPr="00F14868" w:rsidRDefault="00246302" w:rsidP="00206F16">
            <w:pPr>
              <w:spacing w:after="0" w:line="240" w:lineRule="auto"/>
              <w:jc w:val="center"/>
              <w:rPr>
                <w:rFonts w:ascii="Calibri" w:eastAsia="Times New Roman" w:hAnsi="Calibri" w:cs="Calibri"/>
                <w:sz w:val="18"/>
                <w:szCs w:val="18"/>
                <w:lang w:eastAsia="sl-SI"/>
              </w:rPr>
            </w:pPr>
            <w:r w:rsidRPr="00F14868">
              <w:rPr>
                <w:rFonts w:ascii="Calibri" w:eastAsia="Times New Roman" w:hAnsi="Calibri" w:cs="Calibri"/>
                <w:sz w:val="18"/>
                <w:szCs w:val="18"/>
                <w:lang w:eastAsia="sl-SI"/>
              </w:rPr>
              <w:t>0</w:t>
            </w:r>
            <w:r w:rsidRPr="00482C72">
              <w:rPr>
                <w:rFonts w:ascii="Calibri" w:eastAsia="Times New Roman" w:hAnsi="Calibri" w:cs="Calibri"/>
                <w:sz w:val="18"/>
                <w:szCs w:val="18"/>
                <w:lang w:eastAsia="sl-SI"/>
              </w:rPr>
              <w:t>,</w:t>
            </w:r>
            <w:r w:rsidRPr="00F14868">
              <w:rPr>
                <w:rFonts w:ascii="Calibri" w:eastAsia="Times New Roman" w:hAnsi="Calibri" w:cs="Calibri"/>
                <w:sz w:val="18"/>
                <w:szCs w:val="18"/>
                <w:lang w:eastAsia="sl-SI"/>
              </w:rPr>
              <w:t>0</w:t>
            </w:r>
          </w:p>
        </w:tc>
        <w:tc>
          <w:tcPr>
            <w:tcW w:w="400" w:type="dxa"/>
            <w:tcBorders>
              <w:top w:val="nil"/>
              <w:left w:val="single" w:sz="4" w:space="0" w:color="auto"/>
              <w:bottom w:val="single" w:sz="8" w:space="0" w:color="auto"/>
              <w:right w:val="single" w:sz="8" w:space="0" w:color="auto"/>
            </w:tcBorders>
            <w:shd w:val="clear" w:color="auto" w:fill="auto"/>
            <w:vAlign w:val="center"/>
          </w:tcPr>
          <w:p w14:paraId="441207DE" w14:textId="77777777" w:rsidR="00246302" w:rsidRPr="00F14868" w:rsidRDefault="00246302" w:rsidP="00206F16">
            <w:pPr>
              <w:spacing w:after="0" w:line="240" w:lineRule="auto"/>
              <w:jc w:val="center"/>
              <w:rPr>
                <w:rFonts w:ascii="Calibri" w:eastAsia="Times New Roman" w:hAnsi="Calibri" w:cs="Calibri"/>
                <w:sz w:val="18"/>
                <w:szCs w:val="18"/>
                <w:lang w:eastAsia="sl-SI"/>
              </w:rPr>
            </w:pPr>
            <w:r w:rsidRPr="00F14868">
              <w:rPr>
                <w:rFonts w:ascii="Calibri" w:eastAsia="Times New Roman" w:hAnsi="Calibri" w:cs="Calibri"/>
                <w:sz w:val="18"/>
                <w:szCs w:val="18"/>
                <w:lang w:eastAsia="sl-SI"/>
              </w:rPr>
              <w:t>3</w:t>
            </w:r>
            <w:r w:rsidRPr="00482C72">
              <w:rPr>
                <w:rFonts w:ascii="Calibri" w:eastAsia="Times New Roman" w:hAnsi="Calibri" w:cs="Calibri"/>
                <w:sz w:val="18"/>
                <w:szCs w:val="18"/>
                <w:lang w:eastAsia="sl-SI"/>
              </w:rPr>
              <w:t>,</w:t>
            </w:r>
            <w:r w:rsidRPr="00F14868">
              <w:rPr>
                <w:rFonts w:ascii="Calibri" w:eastAsia="Times New Roman" w:hAnsi="Calibri" w:cs="Calibri"/>
                <w:sz w:val="18"/>
                <w:szCs w:val="18"/>
                <w:lang w:eastAsia="sl-SI"/>
              </w:rPr>
              <w:t>8</w:t>
            </w:r>
          </w:p>
        </w:tc>
        <w:tc>
          <w:tcPr>
            <w:tcW w:w="484" w:type="dxa"/>
            <w:tcBorders>
              <w:top w:val="nil"/>
              <w:left w:val="single" w:sz="4" w:space="0" w:color="auto"/>
              <w:bottom w:val="single" w:sz="8" w:space="0" w:color="auto"/>
              <w:right w:val="single" w:sz="8" w:space="0" w:color="auto"/>
            </w:tcBorders>
            <w:shd w:val="clear" w:color="auto" w:fill="auto"/>
            <w:vAlign w:val="center"/>
          </w:tcPr>
          <w:p w14:paraId="02C49A0E"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7</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8</w:t>
            </w:r>
          </w:p>
        </w:tc>
        <w:tc>
          <w:tcPr>
            <w:tcW w:w="394" w:type="dxa"/>
            <w:tcBorders>
              <w:top w:val="nil"/>
              <w:left w:val="single" w:sz="4" w:space="0" w:color="auto"/>
              <w:bottom w:val="single" w:sz="8" w:space="0" w:color="auto"/>
              <w:right w:val="single" w:sz="8" w:space="0" w:color="auto"/>
            </w:tcBorders>
            <w:shd w:val="clear" w:color="auto" w:fill="auto"/>
            <w:vAlign w:val="center"/>
          </w:tcPr>
          <w:p w14:paraId="4B56CCB9"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8</w:t>
            </w:r>
          </w:p>
        </w:tc>
        <w:tc>
          <w:tcPr>
            <w:tcW w:w="458" w:type="dxa"/>
            <w:tcBorders>
              <w:top w:val="nil"/>
              <w:left w:val="single" w:sz="4" w:space="0" w:color="auto"/>
              <w:bottom w:val="single" w:sz="8" w:space="0" w:color="auto"/>
              <w:right w:val="single" w:sz="8" w:space="0" w:color="auto"/>
            </w:tcBorders>
            <w:shd w:val="clear" w:color="auto" w:fill="auto"/>
            <w:vAlign w:val="center"/>
          </w:tcPr>
          <w:p w14:paraId="5BF8B38B"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2</w:t>
            </w:r>
          </w:p>
        </w:tc>
        <w:tc>
          <w:tcPr>
            <w:tcW w:w="332" w:type="dxa"/>
            <w:tcBorders>
              <w:top w:val="nil"/>
              <w:left w:val="single" w:sz="4" w:space="0" w:color="auto"/>
              <w:bottom w:val="single" w:sz="8" w:space="0" w:color="auto"/>
              <w:right w:val="single" w:sz="8" w:space="0" w:color="auto"/>
            </w:tcBorders>
            <w:shd w:val="clear" w:color="auto" w:fill="auto"/>
            <w:vAlign w:val="center"/>
          </w:tcPr>
          <w:p w14:paraId="6F0CC046"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5</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0</w:t>
            </w:r>
          </w:p>
        </w:tc>
        <w:tc>
          <w:tcPr>
            <w:tcW w:w="394" w:type="dxa"/>
            <w:tcBorders>
              <w:top w:val="nil"/>
              <w:left w:val="single" w:sz="4" w:space="0" w:color="auto"/>
              <w:bottom w:val="single" w:sz="8" w:space="0" w:color="auto"/>
              <w:right w:val="single" w:sz="8" w:space="0" w:color="auto"/>
            </w:tcBorders>
            <w:shd w:val="clear" w:color="auto" w:fill="auto"/>
            <w:vAlign w:val="center"/>
          </w:tcPr>
          <w:p w14:paraId="57392308" w14:textId="77777777" w:rsidR="00246302" w:rsidRPr="00F14868" w:rsidRDefault="00246302" w:rsidP="00206F16">
            <w:pPr>
              <w:spacing w:after="0" w:line="240" w:lineRule="auto"/>
              <w:jc w:val="center"/>
              <w:rPr>
                <w:rFonts w:eastAsia="Times New Roman" w:cstheme="minorHAnsi"/>
                <w:sz w:val="18"/>
                <w:szCs w:val="18"/>
                <w:lang w:eastAsia="sl-SI"/>
              </w:rPr>
            </w:pPr>
          </w:p>
        </w:tc>
        <w:tc>
          <w:tcPr>
            <w:tcW w:w="394" w:type="dxa"/>
            <w:tcBorders>
              <w:top w:val="nil"/>
              <w:left w:val="single" w:sz="4" w:space="0" w:color="auto"/>
              <w:bottom w:val="single" w:sz="8" w:space="0" w:color="auto"/>
              <w:right w:val="single" w:sz="8" w:space="0" w:color="auto"/>
            </w:tcBorders>
            <w:shd w:val="clear" w:color="auto" w:fill="auto"/>
            <w:vAlign w:val="center"/>
          </w:tcPr>
          <w:p w14:paraId="4601CF6F" w14:textId="77777777" w:rsidR="00246302" w:rsidRPr="00F14868" w:rsidRDefault="00246302" w:rsidP="00206F16">
            <w:pPr>
              <w:spacing w:after="0" w:line="240" w:lineRule="auto"/>
              <w:jc w:val="center"/>
              <w:rPr>
                <w:rFonts w:eastAsia="Times New Roman" w:cstheme="minorHAnsi"/>
                <w:sz w:val="18"/>
                <w:szCs w:val="18"/>
                <w:lang w:eastAsia="sl-SI"/>
              </w:rPr>
            </w:pPr>
          </w:p>
        </w:tc>
        <w:tc>
          <w:tcPr>
            <w:tcW w:w="439" w:type="dxa"/>
            <w:tcBorders>
              <w:top w:val="nil"/>
              <w:left w:val="single" w:sz="4" w:space="0" w:color="auto"/>
              <w:bottom w:val="single" w:sz="8" w:space="0" w:color="auto"/>
              <w:right w:val="single" w:sz="8" w:space="0" w:color="auto"/>
            </w:tcBorders>
            <w:shd w:val="clear" w:color="auto" w:fill="auto"/>
            <w:vAlign w:val="center"/>
          </w:tcPr>
          <w:p w14:paraId="4E7FB3E2" w14:textId="77777777" w:rsidR="00246302" w:rsidRPr="00F14868" w:rsidRDefault="00246302" w:rsidP="00206F16">
            <w:pPr>
              <w:spacing w:after="0" w:line="240" w:lineRule="auto"/>
              <w:jc w:val="center"/>
              <w:rPr>
                <w:rFonts w:eastAsia="Times New Roman" w:cstheme="minorHAnsi"/>
                <w:sz w:val="18"/>
                <w:szCs w:val="18"/>
                <w:lang w:eastAsia="sl-SI"/>
              </w:rPr>
            </w:pPr>
          </w:p>
        </w:tc>
      </w:tr>
      <w:tr w:rsidR="00246302" w:rsidRPr="00F14868" w14:paraId="74ED4F0D" w14:textId="77777777" w:rsidTr="00206F16">
        <w:trPr>
          <w:trHeight w:val="50"/>
          <w:jc w:val="center"/>
        </w:trPr>
        <w:tc>
          <w:tcPr>
            <w:tcW w:w="105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21125F6" w14:textId="77777777" w:rsidR="00246302" w:rsidRPr="00F14868" w:rsidRDefault="00246302" w:rsidP="00206F16">
            <w:pPr>
              <w:spacing w:after="0" w:line="240" w:lineRule="auto"/>
              <w:rPr>
                <w:rFonts w:ascii="Calibri" w:eastAsia="Times New Roman" w:hAnsi="Calibri" w:cs="Calibri"/>
                <w:color w:val="000000"/>
                <w:sz w:val="18"/>
                <w:szCs w:val="18"/>
                <w:lang w:eastAsia="sl-SI"/>
              </w:rPr>
            </w:pPr>
            <w:r w:rsidRPr="00482C72">
              <w:rPr>
                <w:rFonts w:ascii="Calibri" w:eastAsia="Times New Roman" w:hAnsi="Calibri" w:cs="Calibri"/>
                <w:color w:val="000000"/>
                <w:sz w:val="18"/>
                <w:szCs w:val="18"/>
                <w:lang w:eastAsia="sl-SI"/>
              </w:rPr>
              <w:t>Izvoz</w:t>
            </w:r>
          </w:p>
        </w:tc>
        <w:tc>
          <w:tcPr>
            <w:tcW w:w="414" w:type="dxa"/>
            <w:tcBorders>
              <w:top w:val="nil"/>
              <w:left w:val="nil"/>
              <w:bottom w:val="single" w:sz="8" w:space="0" w:color="auto"/>
              <w:right w:val="single" w:sz="8" w:space="0" w:color="auto"/>
            </w:tcBorders>
            <w:shd w:val="clear" w:color="auto" w:fill="auto"/>
            <w:vAlign w:val="center"/>
          </w:tcPr>
          <w:p w14:paraId="46EA3432"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5</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0</w:t>
            </w:r>
          </w:p>
        </w:tc>
        <w:tc>
          <w:tcPr>
            <w:tcW w:w="379" w:type="dxa"/>
            <w:tcBorders>
              <w:top w:val="nil"/>
              <w:left w:val="nil"/>
              <w:bottom w:val="single" w:sz="8" w:space="0" w:color="auto"/>
              <w:right w:val="single" w:sz="8" w:space="0" w:color="auto"/>
            </w:tcBorders>
            <w:shd w:val="clear" w:color="auto" w:fill="auto"/>
            <w:vAlign w:val="center"/>
          </w:tcPr>
          <w:p w14:paraId="21E1363C"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5</w:t>
            </w:r>
          </w:p>
        </w:tc>
        <w:tc>
          <w:tcPr>
            <w:tcW w:w="387" w:type="dxa"/>
            <w:tcBorders>
              <w:top w:val="nil"/>
              <w:left w:val="nil"/>
              <w:bottom w:val="single" w:sz="8" w:space="0" w:color="auto"/>
              <w:right w:val="single" w:sz="8" w:space="0" w:color="auto"/>
            </w:tcBorders>
            <w:shd w:val="clear" w:color="auto" w:fill="auto"/>
            <w:vAlign w:val="center"/>
          </w:tcPr>
          <w:p w14:paraId="57EA6DFE"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7</w:t>
            </w:r>
          </w:p>
        </w:tc>
        <w:tc>
          <w:tcPr>
            <w:tcW w:w="503" w:type="dxa"/>
            <w:tcBorders>
              <w:top w:val="nil"/>
              <w:left w:val="nil"/>
              <w:bottom w:val="single" w:sz="8" w:space="0" w:color="auto"/>
              <w:right w:val="single" w:sz="8" w:space="0" w:color="auto"/>
            </w:tcBorders>
            <w:shd w:val="clear" w:color="auto" w:fill="auto"/>
            <w:vAlign w:val="center"/>
          </w:tcPr>
          <w:p w14:paraId="578A8D14"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p>
        </w:tc>
        <w:tc>
          <w:tcPr>
            <w:tcW w:w="390" w:type="dxa"/>
            <w:tcBorders>
              <w:top w:val="nil"/>
              <w:left w:val="nil"/>
              <w:bottom w:val="single" w:sz="8" w:space="0" w:color="auto"/>
              <w:right w:val="single" w:sz="8" w:space="0" w:color="auto"/>
            </w:tcBorders>
            <w:shd w:val="clear" w:color="auto" w:fill="auto"/>
            <w:vAlign w:val="center"/>
          </w:tcPr>
          <w:p w14:paraId="79531001"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p>
        </w:tc>
        <w:tc>
          <w:tcPr>
            <w:tcW w:w="368" w:type="dxa"/>
            <w:tcBorders>
              <w:top w:val="nil"/>
              <w:left w:val="nil"/>
              <w:bottom w:val="single" w:sz="8" w:space="0" w:color="auto"/>
              <w:right w:val="single" w:sz="8" w:space="0" w:color="auto"/>
            </w:tcBorders>
            <w:shd w:val="clear" w:color="auto" w:fill="auto"/>
            <w:vAlign w:val="center"/>
          </w:tcPr>
          <w:p w14:paraId="0299EB1B"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7</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1</w:t>
            </w:r>
          </w:p>
        </w:tc>
        <w:tc>
          <w:tcPr>
            <w:tcW w:w="368" w:type="dxa"/>
            <w:tcBorders>
              <w:top w:val="nil"/>
              <w:left w:val="nil"/>
              <w:bottom w:val="single" w:sz="8" w:space="0" w:color="auto"/>
              <w:right w:val="single" w:sz="8" w:space="0" w:color="auto"/>
            </w:tcBorders>
            <w:shd w:val="clear" w:color="auto" w:fill="auto"/>
            <w:vAlign w:val="center"/>
          </w:tcPr>
          <w:p w14:paraId="65DD1E48"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3</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3</w:t>
            </w:r>
          </w:p>
        </w:tc>
        <w:tc>
          <w:tcPr>
            <w:tcW w:w="325" w:type="dxa"/>
            <w:tcBorders>
              <w:top w:val="nil"/>
              <w:left w:val="nil"/>
              <w:bottom w:val="single" w:sz="8" w:space="0" w:color="auto"/>
              <w:right w:val="single" w:sz="8" w:space="0" w:color="auto"/>
            </w:tcBorders>
            <w:shd w:val="clear" w:color="auto" w:fill="auto"/>
            <w:vAlign w:val="center"/>
          </w:tcPr>
          <w:p w14:paraId="6EDFA831"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3</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6</w:t>
            </w:r>
          </w:p>
        </w:tc>
        <w:tc>
          <w:tcPr>
            <w:tcW w:w="368" w:type="dxa"/>
            <w:tcBorders>
              <w:top w:val="nil"/>
              <w:left w:val="nil"/>
              <w:bottom w:val="single" w:sz="8" w:space="0" w:color="auto"/>
              <w:right w:val="single" w:sz="8" w:space="0" w:color="auto"/>
            </w:tcBorders>
            <w:shd w:val="clear" w:color="auto" w:fill="auto"/>
            <w:vAlign w:val="center"/>
          </w:tcPr>
          <w:p w14:paraId="15445032"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6</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7</w:t>
            </w:r>
          </w:p>
        </w:tc>
        <w:tc>
          <w:tcPr>
            <w:tcW w:w="378" w:type="dxa"/>
            <w:tcBorders>
              <w:top w:val="nil"/>
              <w:left w:val="nil"/>
              <w:bottom w:val="single" w:sz="8" w:space="0" w:color="auto"/>
              <w:right w:val="single" w:sz="8" w:space="0" w:color="auto"/>
            </w:tcBorders>
            <w:shd w:val="clear" w:color="auto" w:fill="auto"/>
            <w:vAlign w:val="center"/>
          </w:tcPr>
          <w:p w14:paraId="78C55352"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2</w:t>
            </w:r>
          </w:p>
        </w:tc>
        <w:tc>
          <w:tcPr>
            <w:tcW w:w="362" w:type="dxa"/>
            <w:tcBorders>
              <w:top w:val="nil"/>
              <w:left w:val="nil"/>
              <w:bottom w:val="single" w:sz="8" w:space="0" w:color="auto"/>
              <w:right w:val="single" w:sz="8" w:space="0" w:color="auto"/>
            </w:tcBorders>
            <w:shd w:val="clear" w:color="auto" w:fill="auto"/>
            <w:vAlign w:val="center"/>
          </w:tcPr>
          <w:p w14:paraId="451A63BB"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3</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0</w:t>
            </w:r>
          </w:p>
        </w:tc>
        <w:tc>
          <w:tcPr>
            <w:tcW w:w="394" w:type="dxa"/>
            <w:tcBorders>
              <w:top w:val="nil"/>
              <w:left w:val="nil"/>
              <w:bottom w:val="single" w:sz="8" w:space="0" w:color="auto"/>
              <w:right w:val="single" w:sz="8" w:space="0" w:color="auto"/>
            </w:tcBorders>
            <w:shd w:val="clear" w:color="auto" w:fill="auto"/>
            <w:vAlign w:val="center"/>
          </w:tcPr>
          <w:p w14:paraId="2070C8FD"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8</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2</w:t>
            </w:r>
          </w:p>
        </w:tc>
        <w:tc>
          <w:tcPr>
            <w:tcW w:w="394" w:type="dxa"/>
            <w:tcBorders>
              <w:top w:val="nil"/>
              <w:left w:val="nil"/>
              <w:bottom w:val="single" w:sz="8" w:space="0" w:color="auto"/>
              <w:right w:val="single" w:sz="4" w:space="0" w:color="auto"/>
            </w:tcBorders>
            <w:shd w:val="clear" w:color="auto" w:fill="auto"/>
            <w:vAlign w:val="center"/>
          </w:tcPr>
          <w:p w14:paraId="21DB5366"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3</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2</w:t>
            </w:r>
          </w:p>
        </w:tc>
        <w:tc>
          <w:tcPr>
            <w:tcW w:w="395" w:type="dxa"/>
            <w:tcBorders>
              <w:top w:val="nil"/>
              <w:left w:val="single" w:sz="4" w:space="0" w:color="auto"/>
              <w:bottom w:val="single" w:sz="8" w:space="0" w:color="auto"/>
              <w:right w:val="single" w:sz="8" w:space="0" w:color="auto"/>
            </w:tcBorders>
            <w:shd w:val="clear" w:color="auto" w:fill="auto"/>
            <w:vAlign w:val="center"/>
          </w:tcPr>
          <w:p w14:paraId="761B4073"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5</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0</w:t>
            </w:r>
          </w:p>
        </w:tc>
        <w:tc>
          <w:tcPr>
            <w:tcW w:w="400" w:type="dxa"/>
            <w:tcBorders>
              <w:top w:val="nil"/>
              <w:left w:val="single" w:sz="4" w:space="0" w:color="auto"/>
              <w:bottom w:val="single" w:sz="8" w:space="0" w:color="auto"/>
              <w:right w:val="single" w:sz="8" w:space="0" w:color="auto"/>
            </w:tcBorders>
            <w:shd w:val="clear" w:color="auto" w:fill="auto"/>
            <w:vAlign w:val="center"/>
          </w:tcPr>
          <w:p w14:paraId="0E847829"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6</w:t>
            </w:r>
          </w:p>
        </w:tc>
        <w:tc>
          <w:tcPr>
            <w:tcW w:w="484" w:type="dxa"/>
            <w:tcBorders>
              <w:top w:val="nil"/>
              <w:left w:val="single" w:sz="4" w:space="0" w:color="auto"/>
              <w:bottom w:val="single" w:sz="8" w:space="0" w:color="auto"/>
              <w:right w:val="single" w:sz="8" w:space="0" w:color="auto"/>
            </w:tcBorders>
            <w:shd w:val="clear" w:color="auto" w:fill="auto"/>
            <w:vAlign w:val="center"/>
          </w:tcPr>
          <w:p w14:paraId="0B028474"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6</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5</w:t>
            </w:r>
          </w:p>
        </w:tc>
        <w:tc>
          <w:tcPr>
            <w:tcW w:w="394" w:type="dxa"/>
            <w:tcBorders>
              <w:top w:val="nil"/>
              <w:left w:val="single" w:sz="4" w:space="0" w:color="auto"/>
              <w:bottom w:val="single" w:sz="8" w:space="0" w:color="auto"/>
              <w:right w:val="single" w:sz="8" w:space="0" w:color="auto"/>
            </w:tcBorders>
            <w:shd w:val="clear" w:color="auto" w:fill="auto"/>
            <w:vAlign w:val="center"/>
          </w:tcPr>
          <w:p w14:paraId="7AA01B85"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7</w:t>
            </w:r>
          </w:p>
        </w:tc>
        <w:tc>
          <w:tcPr>
            <w:tcW w:w="458" w:type="dxa"/>
            <w:tcBorders>
              <w:top w:val="nil"/>
              <w:left w:val="single" w:sz="4" w:space="0" w:color="auto"/>
              <w:bottom w:val="single" w:sz="8" w:space="0" w:color="auto"/>
              <w:right w:val="single" w:sz="8" w:space="0" w:color="auto"/>
            </w:tcBorders>
            <w:shd w:val="clear" w:color="auto" w:fill="auto"/>
            <w:vAlign w:val="center"/>
          </w:tcPr>
          <w:p w14:paraId="6B4CC529"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1</w:t>
            </w:r>
          </w:p>
        </w:tc>
        <w:tc>
          <w:tcPr>
            <w:tcW w:w="332" w:type="dxa"/>
            <w:tcBorders>
              <w:top w:val="nil"/>
              <w:left w:val="single" w:sz="4" w:space="0" w:color="auto"/>
              <w:bottom w:val="single" w:sz="8" w:space="0" w:color="auto"/>
              <w:right w:val="single" w:sz="8" w:space="0" w:color="auto"/>
            </w:tcBorders>
            <w:shd w:val="clear" w:color="auto" w:fill="auto"/>
            <w:vAlign w:val="center"/>
          </w:tcPr>
          <w:p w14:paraId="7B349BDE"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2</w:t>
            </w:r>
          </w:p>
        </w:tc>
        <w:tc>
          <w:tcPr>
            <w:tcW w:w="394" w:type="dxa"/>
            <w:tcBorders>
              <w:top w:val="nil"/>
              <w:left w:val="single" w:sz="4" w:space="0" w:color="auto"/>
              <w:bottom w:val="single" w:sz="8" w:space="0" w:color="auto"/>
              <w:right w:val="single" w:sz="8" w:space="0" w:color="auto"/>
            </w:tcBorders>
            <w:shd w:val="clear" w:color="auto" w:fill="auto"/>
            <w:vAlign w:val="center"/>
          </w:tcPr>
          <w:p w14:paraId="2C4C9C18" w14:textId="77777777" w:rsidR="00246302" w:rsidRPr="00F14868" w:rsidRDefault="00246302" w:rsidP="00206F16">
            <w:pPr>
              <w:spacing w:after="0" w:line="240" w:lineRule="auto"/>
              <w:jc w:val="center"/>
              <w:rPr>
                <w:rFonts w:eastAsia="Times New Roman" w:cstheme="minorHAnsi"/>
                <w:color w:val="000000"/>
                <w:sz w:val="18"/>
                <w:szCs w:val="18"/>
                <w:lang w:eastAsia="sl-SI"/>
              </w:rPr>
            </w:pPr>
          </w:p>
        </w:tc>
        <w:tc>
          <w:tcPr>
            <w:tcW w:w="394" w:type="dxa"/>
            <w:tcBorders>
              <w:top w:val="nil"/>
              <w:left w:val="single" w:sz="4" w:space="0" w:color="auto"/>
              <w:bottom w:val="single" w:sz="8" w:space="0" w:color="auto"/>
              <w:right w:val="single" w:sz="8" w:space="0" w:color="auto"/>
            </w:tcBorders>
            <w:shd w:val="clear" w:color="auto" w:fill="auto"/>
            <w:vAlign w:val="center"/>
          </w:tcPr>
          <w:p w14:paraId="120D15B8" w14:textId="77777777" w:rsidR="00246302" w:rsidRPr="00F14868" w:rsidRDefault="00246302" w:rsidP="00206F16">
            <w:pPr>
              <w:spacing w:after="0" w:line="240" w:lineRule="auto"/>
              <w:jc w:val="center"/>
              <w:rPr>
                <w:rFonts w:eastAsia="Times New Roman" w:cstheme="minorHAnsi"/>
                <w:color w:val="000000"/>
                <w:sz w:val="18"/>
                <w:szCs w:val="18"/>
                <w:lang w:eastAsia="sl-SI"/>
              </w:rPr>
            </w:pPr>
          </w:p>
        </w:tc>
        <w:tc>
          <w:tcPr>
            <w:tcW w:w="439" w:type="dxa"/>
            <w:tcBorders>
              <w:top w:val="nil"/>
              <w:left w:val="single" w:sz="4" w:space="0" w:color="auto"/>
              <w:bottom w:val="single" w:sz="8" w:space="0" w:color="auto"/>
              <w:right w:val="single" w:sz="8" w:space="0" w:color="auto"/>
            </w:tcBorders>
            <w:shd w:val="clear" w:color="auto" w:fill="auto"/>
            <w:vAlign w:val="center"/>
          </w:tcPr>
          <w:p w14:paraId="1B06F4E2" w14:textId="77777777" w:rsidR="00246302" w:rsidRPr="00F14868" w:rsidRDefault="00246302" w:rsidP="00206F16">
            <w:pPr>
              <w:spacing w:after="0" w:line="240" w:lineRule="auto"/>
              <w:jc w:val="center"/>
              <w:rPr>
                <w:rFonts w:eastAsia="Times New Roman" w:cstheme="minorHAnsi"/>
                <w:color w:val="000000"/>
                <w:sz w:val="18"/>
                <w:szCs w:val="18"/>
                <w:lang w:eastAsia="sl-SI"/>
              </w:rPr>
            </w:pPr>
          </w:p>
        </w:tc>
      </w:tr>
      <w:tr w:rsidR="00246302" w:rsidRPr="00F14868" w14:paraId="6D623CF9" w14:textId="77777777" w:rsidTr="00206F16">
        <w:trPr>
          <w:trHeight w:val="50"/>
          <w:jc w:val="center"/>
        </w:trPr>
        <w:tc>
          <w:tcPr>
            <w:tcW w:w="105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EFE9477" w14:textId="77777777" w:rsidR="00246302" w:rsidRPr="00F14868" w:rsidRDefault="00246302" w:rsidP="00206F16">
            <w:pPr>
              <w:spacing w:after="0" w:line="240" w:lineRule="auto"/>
              <w:rPr>
                <w:rFonts w:ascii="Calibri" w:eastAsia="Times New Roman" w:hAnsi="Calibri" w:cs="Calibri"/>
                <w:color w:val="000000"/>
                <w:sz w:val="18"/>
                <w:szCs w:val="18"/>
                <w:lang w:eastAsia="sl-SI"/>
              </w:rPr>
            </w:pPr>
            <w:r w:rsidRPr="00482C72">
              <w:rPr>
                <w:rFonts w:ascii="Calibri" w:eastAsia="Times New Roman" w:hAnsi="Calibri" w:cs="Calibri"/>
                <w:color w:val="000000"/>
                <w:sz w:val="18"/>
                <w:szCs w:val="18"/>
                <w:lang w:eastAsia="sl-SI"/>
              </w:rPr>
              <w:t>Uvoz</w:t>
            </w:r>
          </w:p>
        </w:tc>
        <w:tc>
          <w:tcPr>
            <w:tcW w:w="414" w:type="dxa"/>
            <w:tcBorders>
              <w:top w:val="nil"/>
              <w:left w:val="nil"/>
              <w:bottom w:val="single" w:sz="8" w:space="0" w:color="auto"/>
              <w:right w:val="single" w:sz="8" w:space="0" w:color="auto"/>
            </w:tcBorders>
            <w:shd w:val="clear" w:color="auto" w:fill="auto"/>
            <w:vAlign w:val="center"/>
          </w:tcPr>
          <w:p w14:paraId="1792850E"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6</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5</w:t>
            </w:r>
          </w:p>
        </w:tc>
        <w:tc>
          <w:tcPr>
            <w:tcW w:w="379" w:type="dxa"/>
            <w:tcBorders>
              <w:top w:val="nil"/>
              <w:left w:val="nil"/>
              <w:bottom w:val="single" w:sz="8" w:space="0" w:color="auto"/>
              <w:right w:val="single" w:sz="8" w:space="0" w:color="auto"/>
            </w:tcBorders>
            <w:shd w:val="clear" w:color="auto" w:fill="auto"/>
            <w:vAlign w:val="center"/>
          </w:tcPr>
          <w:p w14:paraId="6B072C2C"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2</w:t>
            </w:r>
          </w:p>
        </w:tc>
        <w:tc>
          <w:tcPr>
            <w:tcW w:w="387" w:type="dxa"/>
            <w:tcBorders>
              <w:top w:val="nil"/>
              <w:left w:val="nil"/>
              <w:bottom w:val="single" w:sz="8" w:space="0" w:color="auto"/>
              <w:right w:val="single" w:sz="8" w:space="0" w:color="auto"/>
            </w:tcBorders>
            <w:shd w:val="clear" w:color="auto" w:fill="auto"/>
            <w:vAlign w:val="center"/>
          </w:tcPr>
          <w:p w14:paraId="0D3675C5"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3</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8</w:t>
            </w:r>
          </w:p>
        </w:tc>
        <w:tc>
          <w:tcPr>
            <w:tcW w:w="503" w:type="dxa"/>
            <w:tcBorders>
              <w:top w:val="nil"/>
              <w:left w:val="nil"/>
              <w:bottom w:val="single" w:sz="8" w:space="0" w:color="auto"/>
              <w:right w:val="single" w:sz="8" w:space="0" w:color="auto"/>
            </w:tcBorders>
            <w:shd w:val="clear" w:color="auto" w:fill="auto"/>
            <w:vAlign w:val="center"/>
          </w:tcPr>
          <w:p w14:paraId="7D50BBB0"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p>
        </w:tc>
        <w:tc>
          <w:tcPr>
            <w:tcW w:w="390" w:type="dxa"/>
            <w:tcBorders>
              <w:top w:val="nil"/>
              <w:left w:val="nil"/>
              <w:bottom w:val="single" w:sz="8" w:space="0" w:color="auto"/>
              <w:right w:val="single" w:sz="8" w:space="0" w:color="auto"/>
            </w:tcBorders>
            <w:shd w:val="clear" w:color="auto" w:fill="auto"/>
            <w:vAlign w:val="center"/>
          </w:tcPr>
          <w:p w14:paraId="1D3D46D3"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p>
        </w:tc>
        <w:tc>
          <w:tcPr>
            <w:tcW w:w="368" w:type="dxa"/>
            <w:tcBorders>
              <w:top w:val="nil"/>
              <w:left w:val="nil"/>
              <w:bottom w:val="single" w:sz="8" w:space="0" w:color="auto"/>
              <w:right w:val="single" w:sz="8" w:space="0" w:color="auto"/>
            </w:tcBorders>
            <w:shd w:val="clear" w:color="auto" w:fill="auto"/>
            <w:vAlign w:val="center"/>
          </w:tcPr>
          <w:p w14:paraId="52D2D81B"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8</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7</w:t>
            </w:r>
          </w:p>
        </w:tc>
        <w:tc>
          <w:tcPr>
            <w:tcW w:w="368" w:type="dxa"/>
            <w:tcBorders>
              <w:top w:val="nil"/>
              <w:left w:val="nil"/>
              <w:bottom w:val="single" w:sz="8" w:space="0" w:color="auto"/>
              <w:right w:val="single" w:sz="8" w:space="0" w:color="auto"/>
            </w:tcBorders>
            <w:shd w:val="clear" w:color="auto" w:fill="auto"/>
            <w:vAlign w:val="center"/>
          </w:tcPr>
          <w:p w14:paraId="7DB95A46"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4</w:t>
            </w:r>
          </w:p>
        </w:tc>
        <w:tc>
          <w:tcPr>
            <w:tcW w:w="325" w:type="dxa"/>
            <w:tcBorders>
              <w:top w:val="nil"/>
              <w:left w:val="nil"/>
              <w:bottom w:val="single" w:sz="8" w:space="0" w:color="auto"/>
              <w:right w:val="single" w:sz="8" w:space="0" w:color="auto"/>
            </w:tcBorders>
            <w:shd w:val="clear" w:color="auto" w:fill="auto"/>
            <w:vAlign w:val="center"/>
          </w:tcPr>
          <w:p w14:paraId="4AC920CC"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3</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5</w:t>
            </w:r>
          </w:p>
        </w:tc>
        <w:tc>
          <w:tcPr>
            <w:tcW w:w="368" w:type="dxa"/>
            <w:tcBorders>
              <w:top w:val="nil"/>
              <w:left w:val="nil"/>
              <w:bottom w:val="single" w:sz="8" w:space="0" w:color="auto"/>
              <w:right w:val="single" w:sz="8" w:space="0" w:color="auto"/>
            </w:tcBorders>
            <w:shd w:val="clear" w:color="auto" w:fill="auto"/>
            <w:vAlign w:val="center"/>
          </w:tcPr>
          <w:p w14:paraId="20FC0535"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10</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3</w:t>
            </w:r>
          </w:p>
        </w:tc>
        <w:tc>
          <w:tcPr>
            <w:tcW w:w="378" w:type="dxa"/>
            <w:tcBorders>
              <w:top w:val="nil"/>
              <w:left w:val="nil"/>
              <w:bottom w:val="single" w:sz="8" w:space="0" w:color="auto"/>
              <w:right w:val="single" w:sz="8" w:space="0" w:color="auto"/>
            </w:tcBorders>
            <w:shd w:val="clear" w:color="auto" w:fill="auto"/>
            <w:vAlign w:val="center"/>
          </w:tcPr>
          <w:p w14:paraId="7F608696"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5</w:t>
            </w:r>
          </w:p>
        </w:tc>
        <w:tc>
          <w:tcPr>
            <w:tcW w:w="362" w:type="dxa"/>
            <w:tcBorders>
              <w:top w:val="nil"/>
              <w:left w:val="nil"/>
              <w:bottom w:val="single" w:sz="8" w:space="0" w:color="auto"/>
              <w:right w:val="single" w:sz="8" w:space="0" w:color="auto"/>
            </w:tcBorders>
            <w:shd w:val="clear" w:color="auto" w:fill="auto"/>
            <w:vAlign w:val="center"/>
          </w:tcPr>
          <w:p w14:paraId="35181B82"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3</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0</w:t>
            </w:r>
          </w:p>
        </w:tc>
        <w:tc>
          <w:tcPr>
            <w:tcW w:w="394" w:type="dxa"/>
            <w:tcBorders>
              <w:top w:val="nil"/>
              <w:left w:val="nil"/>
              <w:bottom w:val="single" w:sz="8" w:space="0" w:color="auto"/>
              <w:right w:val="single" w:sz="8" w:space="0" w:color="auto"/>
            </w:tcBorders>
            <w:shd w:val="clear" w:color="auto" w:fill="auto"/>
            <w:vAlign w:val="center"/>
          </w:tcPr>
          <w:p w14:paraId="78E41D2B"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11</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0</w:t>
            </w:r>
          </w:p>
        </w:tc>
        <w:tc>
          <w:tcPr>
            <w:tcW w:w="394" w:type="dxa"/>
            <w:tcBorders>
              <w:top w:val="nil"/>
              <w:left w:val="nil"/>
              <w:bottom w:val="single" w:sz="8" w:space="0" w:color="auto"/>
              <w:right w:val="single" w:sz="4" w:space="0" w:color="auto"/>
            </w:tcBorders>
            <w:shd w:val="clear" w:color="auto" w:fill="auto"/>
            <w:vAlign w:val="center"/>
          </w:tcPr>
          <w:p w14:paraId="623FFDBE"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3</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4</w:t>
            </w:r>
          </w:p>
        </w:tc>
        <w:tc>
          <w:tcPr>
            <w:tcW w:w="395" w:type="dxa"/>
            <w:tcBorders>
              <w:top w:val="nil"/>
              <w:left w:val="single" w:sz="4" w:space="0" w:color="auto"/>
              <w:bottom w:val="single" w:sz="8" w:space="0" w:color="auto"/>
              <w:right w:val="single" w:sz="8" w:space="0" w:color="auto"/>
            </w:tcBorders>
            <w:shd w:val="clear" w:color="auto" w:fill="auto"/>
            <w:vAlign w:val="center"/>
          </w:tcPr>
          <w:p w14:paraId="4BF65D6E"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1</w:t>
            </w:r>
          </w:p>
        </w:tc>
        <w:tc>
          <w:tcPr>
            <w:tcW w:w="400" w:type="dxa"/>
            <w:tcBorders>
              <w:top w:val="nil"/>
              <w:left w:val="single" w:sz="4" w:space="0" w:color="auto"/>
              <w:bottom w:val="single" w:sz="8" w:space="0" w:color="auto"/>
              <w:right w:val="single" w:sz="8" w:space="0" w:color="auto"/>
            </w:tcBorders>
            <w:shd w:val="clear" w:color="auto" w:fill="auto"/>
            <w:vAlign w:val="center"/>
          </w:tcPr>
          <w:p w14:paraId="456B2505"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5</w:t>
            </w:r>
          </w:p>
        </w:tc>
        <w:tc>
          <w:tcPr>
            <w:tcW w:w="484" w:type="dxa"/>
            <w:tcBorders>
              <w:top w:val="nil"/>
              <w:left w:val="single" w:sz="4" w:space="0" w:color="auto"/>
              <w:bottom w:val="single" w:sz="8" w:space="0" w:color="auto"/>
              <w:right w:val="single" w:sz="8" w:space="0" w:color="auto"/>
            </w:tcBorders>
            <w:shd w:val="clear" w:color="auto" w:fill="auto"/>
            <w:vAlign w:val="center"/>
          </w:tcPr>
          <w:p w14:paraId="3A780569"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9</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8</w:t>
            </w:r>
          </w:p>
        </w:tc>
        <w:tc>
          <w:tcPr>
            <w:tcW w:w="394" w:type="dxa"/>
            <w:tcBorders>
              <w:top w:val="nil"/>
              <w:left w:val="single" w:sz="4" w:space="0" w:color="auto"/>
              <w:bottom w:val="single" w:sz="8" w:space="0" w:color="auto"/>
              <w:right w:val="single" w:sz="8" w:space="0" w:color="auto"/>
            </w:tcBorders>
            <w:shd w:val="clear" w:color="auto" w:fill="auto"/>
            <w:vAlign w:val="center"/>
          </w:tcPr>
          <w:p w14:paraId="297469C2"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1</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8</w:t>
            </w:r>
          </w:p>
        </w:tc>
        <w:tc>
          <w:tcPr>
            <w:tcW w:w="458" w:type="dxa"/>
            <w:tcBorders>
              <w:top w:val="nil"/>
              <w:left w:val="single" w:sz="4" w:space="0" w:color="auto"/>
              <w:bottom w:val="single" w:sz="8" w:space="0" w:color="auto"/>
              <w:right w:val="single" w:sz="8" w:space="0" w:color="auto"/>
            </w:tcBorders>
            <w:shd w:val="clear" w:color="auto" w:fill="auto"/>
            <w:vAlign w:val="center"/>
          </w:tcPr>
          <w:p w14:paraId="7209FE6E"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3</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6</w:t>
            </w:r>
          </w:p>
        </w:tc>
        <w:tc>
          <w:tcPr>
            <w:tcW w:w="332" w:type="dxa"/>
            <w:tcBorders>
              <w:top w:val="nil"/>
              <w:left w:val="single" w:sz="4" w:space="0" w:color="auto"/>
              <w:bottom w:val="single" w:sz="8" w:space="0" w:color="auto"/>
              <w:right w:val="single" w:sz="8" w:space="0" w:color="auto"/>
            </w:tcBorders>
            <w:shd w:val="clear" w:color="auto" w:fill="auto"/>
            <w:vAlign w:val="center"/>
          </w:tcPr>
          <w:p w14:paraId="0472C2B1"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3</w:t>
            </w:r>
          </w:p>
        </w:tc>
        <w:tc>
          <w:tcPr>
            <w:tcW w:w="394" w:type="dxa"/>
            <w:tcBorders>
              <w:top w:val="nil"/>
              <w:left w:val="single" w:sz="4" w:space="0" w:color="auto"/>
              <w:bottom w:val="single" w:sz="8" w:space="0" w:color="auto"/>
              <w:right w:val="single" w:sz="8" w:space="0" w:color="auto"/>
            </w:tcBorders>
            <w:shd w:val="clear" w:color="auto" w:fill="auto"/>
            <w:vAlign w:val="center"/>
          </w:tcPr>
          <w:p w14:paraId="41A3B62D" w14:textId="77777777" w:rsidR="00246302" w:rsidRPr="00F14868" w:rsidRDefault="00246302" w:rsidP="00206F16">
            <w:pPr>
              <w:spacing w:after="0" w:line="240" w:lineRule="auto"/>
              <w:jc w:val="center"/>
              <w:rPr>
                <w:rFonts w:eastAsia="Times New Roman" w:cstheme="minorHAnsi"/>
                <w:color w:val="000000"/>
                <w:sz w:val="18"/>
                <w:szCs w:val="18"/>
                <w:lang w:eastAsia="sl-SI"/>
              </w:rPr>
            </w:pPr>
          </w:p>
        </w:tc>
        <w:tc>
          <w:tcPr>
            <w:tcW w:w="394" w:type="dxa"/>
            <w:tcBorders>
              <w:top w:val="nil"/>
              <w:left w:val="single" w:sz="4" w:space="0" w:color="auto"/>
              <w:bottom w:val="single" w:sz="8" w:space="0" w:color="auto"/>
              <w:right w:val="single" w:sz="8" w:space="0" w:color="auto"/>
            </w:tcBorders>
            <w:shd w:val="clear" w:color="auto" w:fill="auto"/>
            <w:vAlign w:val="center"/>
          </w:tcPr>
          <w:p w14:paraId="4090A6D4" w14:textId="77777777" w:rsidR="00246302" w:rsidRPr="00F14868" w:rsidRDefault="00246302" w:rsidP="00206F16">
            <w:pPr>
              <w:spacing w:after="0" w:line="240" w:lineRule="auto"/>
              <w:jc w:val="center"/>
              <w:rPr>
                <w:rFonts w:eastAsia="Times New Roman" w:cstheme="minorHAnsi"/>
                <w:color w:val="000000"/>
                <w:sz w:val="18"/>
                <w:szCs w:val="18"/>
                <w:lang w:eastAsia="sl-SI"/>
              </w:rPr>
            </w:pPr>
          </w:p>
        </w:tc>
        <w:tc>
          <w:tcPr>
            <w:tcW w:w="439" w:type="dxa"/>
            <w:tcBorders>
              <w:top w:val="nil"/>
              <w:left w:val="single" w:sz="4" w:space="0" w:color="auto"/>
              <w:bottom w:val="single" w:sz="8" w:space="0" w:color="auto"/>
              <w:right w:val="single" w:sz="8" w:space="0" w:color="auto"/>
            </w:tcBorders>
            <w:shd w:val="clear" w:color="auto" w:fill="auto"/>
            <w:vAlign w:val="center"/>
          </w:tcPr>
          <w:p w14:paraId="085CDBA0" w14:textId="77777777" w:rsidR="00246302" w:rsidRPr="00F14868" w:rsidRDefault="00246302" w:rsidP="00206F16">
            <w:pPr>
              <w:spacing w:after="0" w:line="240" w:lineRule="auto"/>
              <w:jc w:val="center"/>
              <w:rPr>
                <w:rFonts w:eastAsia="Times New Roman" w:cstheme="minorHAnsi"/>
                <w:color w:val="000000"/>
                <w:sz w:val="18"/>
                <w:szCs w:val="18"/>
                <w:lang w:eastAsia="sl-SI"/>
              </w:rPr>
            </w:pPr>
          </w:p>
        </w:tc>
      </w:tr>
      <w:tr w:rsidR="00246302" w:rsidRPr="00F14868" w14:paraId="1FBEF63E" w14:textId="77777777" w:rsidTr="00206F16">
        <w:trPr>
          <w:trHeight w:val="50"/>
          <w:jc w:val="center"/>
        </w:trPr>
        <w:tc>
          <w:tcPr>
            <w:tcW w:w="105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CCA10F8" w14:textId="77777777" w:rsidR="00246302" w:rsidRPr="00F14868" w:rsidRDefault="00246302" w:rsidP="00206F16">
            <w:pPr>
              <w:spacing w:after="0" w:line="240" w:lineRule="auto"/>
              <w:rPr>
                <w:rFonts w:ascii="Calibri" w:eastAsia="Times New Roman" w:hAnsi="Calibri" w:cs="Calibri"/>
                <w:color w:val="000000"/>
                <w:sz w:val="18"/>
                <w:szCs w:val="18"/>
                <w:lang w:eastAsia="sl-SI"/>
              </w:rPr>
            </w:pPr>
            <w:r w:rsidRPr="00482C72">
              <w:rPr>
                <w:rFonts w:ascii="Calibri" w:eastAsia="Times New Roman" w:hAnsi="Calibri" w:cs="Calibri"/>
                <w:color w:val="000000"/>
                <w:sz w:val="18"/>
                <w:szCs w:val="18"/>
                <w:lang w:eastAsia="sl-SI"/>
              </w:rPr>
              <w:t>Zaposlenost</w:t>
            </w:r>
          </w:p>
        </w:tc>
        <w:tc>
          <w:tcPr>
            <w:tcW w:w="414" w:type="dxa"/>
            <w:tcBorders>
              <w:top w:val="nil"/>
              <w:left w:val="nil"/>
              <w:bottom w:val="single" w:sz="8" w:space="0" w:color="auto"/>
              <w:right w:val="single" w:sz="8" w:space="0" w:color="auto"/>
            </w:tcBorders>
            <w:shd w:val="clear" w:color="auto" w:fill="auto"/>
            <w:vAlign w:val="center"/>
          </w:tcPr>
          <w:p w14:paraId="1EF9E552"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3</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0</w:t>
            </w:r>
          </w:p>
        </w:tc>
        <w:tc>
          <w:tcPr>
            <w:tcW w:w="379" w:type="dxa"/>
            <w:tcBorders>
              <w:top w:val="nil"/>
              <w:left w:val="nil"/>
              <w:bottom w:val="single" w:sz="8" w:space="0" w:color="auto"/>
              <w:right w:val="single" w:sz="8" w:space="0" w:color="auto"/>
            </w:tcBorders>
            <w:shd w:val="clear" w:color="auto" w:fill="auto"/>
            <w:vAlign w:val="center"/>
          </w:tcPr>
          <w:p w14:paraId="73DF2B91"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0</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8</w:t>
            </w:r>
          </w:p>
        </w:tc>
        <w:tc>
          <w:tcPr>
            <w:tcW w:w="387" w:type="dxa"/>
            <w:tcBorders>
              <w:top w:val="nil"/>
              <w:left w:val="nil"/>
              <w:bottom w:val="single" w:sz="8" w:space="0" w:color="auto"/>
              <w:right w:val="single" w:sz="8" w:space="0" w:color="auto"/>
            </w:tcBorders>
            <w:shd w:val="clear" w:color="auto" w:fill="auto"/>
            <w:vAlign w:val="center"/>
          </w:tcPr>
          <w:p w14:paraId="53973D08"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0</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7</w:t>
            </w:r>
          </w:p>
        </w:tc>
        <w:tc>
          <w:tcPr>
            <w:tcW w:w="503" w:type="dxa"/>
            <w:tcBorders>
              <w:top w:val="nil"/>
              <w:left w:val="nil"/>
              <w:bottom w:val="single" w:sz="8" w:space="0" w:color="auto"/>
              <w:right w:val="single" w:sz="8" w:space="0" w:color="auto"/>
            </w:tcBorders>
            <w:shd w:val="clear" w:color="auto" w:fill="auto"/>
            <w:vAlign w:val="center"/>
          </w:tcPr>
          <w:p w14:paraId="6C0D3059"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p>
        </w:tc>
        <w:tc>
          <w:tcPr>
            <w:tcW w:w="390" w:type="dxa"/>
            <w:tcBorders>
              <w:top w:val="nil"/>
              <w:left w:val="nil"/>
              <w:bottom w:val="single" w:sz="8" w:space="0" w:color="auto"/>
              <w:right w:val="single" w:sz="8" w:space="0" w:color="auto"/>
            </w:tcBorders>
            <w:shd w:val="clear" w:color="auto" w:fill="auto"/>
            <w:vAlign w:val="center"/>
          </w:tcPr>
          <w:p w14:paraId="5104BB5F"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p>
        </w:tc>
        <w:tc>
          <w:tcPr>
            <w:tcW w:w="368" w:type="dxa"/>
            <w:tcBorders>
              <w:top w:val="nil"/>
              <w:left w:val="nil"/>
              <w:bottom w:val="single" w:sz="8" w:space="0" w:color="auto"/>
              <w:right w:val="single" w:sz="8" w:space="0" w:color="auto"/>
            </w:tcBorders>
            <w:shd w:val="clear" w:color="auto" w:fill="auto"/>
            <w:vAlign w:val="center"/>
          </w:tcPr>
          <w:p w14:paraId="3D94FADC"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9</w:t>
            </w:r>
          </w:p>
        </w:tc>
        <w:tc>
          <w:tcPr>
            <w:tcW w:w="368" w:type="dxa"/>
            <w:tcBorders>
              <w:top w:val="nil"/>
              <w:left w:val="nil"/>
              <w:bottom w:val="single" w:sz="8" w:space="0" w:color="auto"/>
              <w:right w:val="single" w:sz="8" w:space="0" w:color="auto"/>
            </w:tcBorders>
            <w:shd w:val="clear" w:color="auto" w:fill="auto"/>
            <w:vAlign w:val="center"/>
          </w:tcPr>
          <w:p w14:paraId="1768B17A"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0</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3</w:t>
            </w:r>
          </w:p>
        </w:tc>
        <w:tc>
          <w:tcPr>
            <w:tcW w:w="325" w:type="dxa"/>
            <w:tcBorders>
              <w:top w:val="nil"/>
              <w:left w:val="nil"/>
              <w:bottom w:val="single" w:sz="8" w:space="0" w:color="auto"/>
              <w:right w:val="single" w:sz="8" w:space="0" w:color="auto"/>
            </w:tcBorders>
            <w:shd w:val="clear" w:color="auto" w:fill="auto"/>
            <w:vAlign w:val="center"/>
          </w:tcPr>
          <w:p w14:paraId="266D49D9"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0</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5</w:t>
            </w:r>
          </w:p>
        </w:tc>
        <w:tc>
          <w:tcPr>
            <w:tcW w:w="368" w:type="dxa"/>
            <w:tcBorders>
              <w:top w:val="nil"/>
              <w:left w:val="nil"/>
              <w:bottom w:val="single" w:sz="8" w:space="0" w:color="auto"/>
              <w:right w:val="single" w:sz="8" w:space="0" w:color="auto"/>
            </w:tcBorders>
            <w:shd w:val="clear" w:color="auto" w:fill="auto"/>
            <w:vAlign w:val="center"/>
          </w:tcPr>
          <w:p w14:paraId="49B6C9F8"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p>
        </w:tc>
        <w:tc>
          <w:tcPr>
            <w:tcW w:w="378" w:type="dxa"/>
            <w:tcBorders>
              <w:top w:val="nil"/>
              <w:left w:val="nil"/>
              <w:bottom w:val="single" w:sz="8" w:space="0" w:color="auto"/>
              <w:right w:val="single" w:sz="8" w:space="0" w:color="auto"/>
            </w:tcBorders>
            <w:shd w:val="clear" w:color="auto" w:fill="auto"/>
            <w:vAlign w:val="center"/>
          </w:tcPr>
          <w:p w14:paraId="046F1B85"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p>
        </w:tc>
        <w:tc>
          <w:tcPr>
            <w:tcW w:w="362" w:type="dxa"/>
            <w:tcBorders>
              <w:top w:val="nil"/>
              <w:left w:val="nil"/>
              <w:bottom w:val="single" w:sz="8" w:space="0" w:color="auto"/>
              <w:right w:val="single" w:sz="8" w:space="0" w:color="auto"/>
            </w:tcBorders>
            <w:shd w:val="clear" w:color="auto" w:fill="auto"/>
            <w:vAlign w:val="center"/>
          </w:tcPr>
          <w:p w14:paraId="357F6A6D"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p>
        </w:tc>
        <w:tc>
          <w:tcPr>
            <w:tcW w:w="394" w:type="dxa"/>
            <w:tcBorders>
              <w:top w:val="nil"/>
              <w:left w:val="nil"/>
              <w:bottom w:val="single" w:sz="8" w:space="0" w:color="auto"/>
              <w:right w:val="single" w:sz="8" w:space="0" w:color="auto"/>
            </w:tcBorders>
            <w:shd w:val="clear" w:color="auto" w:fill="auto"/>
            <w:vAlign w:val="center"/>
          </w:tcPr>
          <w:p w14:paraId="74229868"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4</w:t>
            </w:r>
          </w:p>
        </w:tc>
        <w:tc>
          <w:tcPr>
            <w:tcW w:w="394" w:type="dxa"/>
            <w:tcBorders>
              <w:top w:val="nil"/>
              <w:left w:val="nil"/>
              <w:bottom w:val="single" w:sz="8" w:space="0" w:color="auto"/>
              <w:right w:val="single" w:sz="4" w:space="0" w:color="auto"/>
            </w:tcBorders>
            <w:shd w:val="clear" w:color="auto" w:fill="auto"/>
            <w:vAlign w:val="center"/>
          </w:tcPr>
          <w:p w14:paraId="6E3DD28D"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0</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4</w:t>
            </w:r>
          </w:p>
        </w:tc>
        <w:tc>
          <w:tcPr>
            <w:tcW w:w="395" w:type="dxa"/>
            <w:tcBorders>
              <w:top w:val="nil"/>
              <w:left w:val="single" w:sz="4" w:space="0" w:color="auto"/>
              <w:bottom w:val="single" w:sz="8" w:space="0" w:color="auto"/>
              <w:right w:val="single" w:sz="8" w:space="0" w:color="auto"/>
            </w:tcBorders>
            <w:shd w:val="clear" w:color="auto" w:fill="auto"/>
            <w:vAlign w:val="center"/>
          </w:tcPr>
          <w:p w14:paraId="54C36654"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0</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8</w:t>
            </w:r>
          </w:p>
        </w:tc>
        <w:tc>
          <w:tcPr>
            <w:tcW w:w="400" w:type="dxa"/>
            <w:tcBorders>
              <w:top w:val="nil"/>
              <w:left w:val="single" w:sz="4" w:space="0" w:color="auto"/>
              <w:bottom w:val="single" w:sz="8" w:space="0" w:color="auto"/>
              <w:right w:val="single" w:sz="8" w:space="0" w:color="auto"/>
            </w:tcBorders>
            <w:shd w:val="clear" w:color="auto" w:fill="auto"/>
            <w:vAlign w:val="center"/>
          </w:tcPr>
          <w:p w14:paraId="67398F23"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0</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7</w:t>
            </w:r>
          </w:p>
        </w:tc>
        <w:tc>
          <w:tcPr>
            <w:tcW w:w="484" w:type="dxa"/>
            <w:tcBorders>
              <w:top w:val="nil"/>
              <w:left w:val="single" w:sz="4" w:space="0" w:color="auto"/>
              <w:bottom w:val="single" w:sz="8" w:space="0" w:color="auto"/>
              <w:right w:val="single" w:sz="8" w:space="0" w:color="auto"/>
            </w:tcBorders>
            <w:shd w:val="clear" w:color="auto" w:fill="auto"/>
            <w:vAlign w:val="center"/>
          </w:tcPr>
          <w:p w14:paraId="26351DC3"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4</w:t>
            </w:r>
          </w:p>
        </w:tc>
        <w:tc>
          <w:tcPr>
            <w:tcW w:w="394" w:type="dxa"/>
            <w:tcBorders>
              <w:top w:val="nil"/>
              <w:left w:val="single" w:sz="4" w:space="0" w:color="auto"/>
              <w:bottom w:val="single" w:sz="8" w:space="0" w:color="auto"/>
              <w:right w:val="single" w:sz="8" w:space="0" w:color="auto"/>
            </w:tcBorders>
            <w:shd w:val="clear" w:color="auto" w:fill="auto"/>
            <w:vAlign w:val="center"/>
          </w:tcPr>
          <w:p w14:paraId="5EC398D4"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1</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0</w:t>
            </w:r>
          </w:p>
        </w:tc>
        <w:tc>
          <w:tcPr>
            <w:tcW w:w="458" w:type="dxa"/>
            <w:tcBorders>
              <w:top w:val="nil"/>
              <w:left w:val="single" w:sz="4" w:space="0" w:color="auto"/>
              <w:bottom w:val="single" w:sz="8" w:space="0" w:color="auto"/>
              <w:right w:val="single" w:sz="8" w:space="0" w:color="auto"/>
            </w:tcBorders>
            <w:shd w:val="clear" w:color="auto" w:fill="auto"/>
            <w:vAlign w:val="center"/>
          </w:tcPr>
          <w:p w14:paraId="10CAF8CD"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0</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7</w:t>
            </w:r>
          </w:p>
        </w:tc>
        <w:tc>
          <w:tcPr>
            <w:tcW w:w="332" w:type="dxa"/>
            <w:tcBorders>
              <w:top w:val="nil"/>
              <w:left w:val="single" w:sz="4" w:space="0" w:color="auto"/>
              <w:bottom w:val="single" w:sz="8" w:space="0" w:color="auto"/>
              <w:right w:val="single" w:sz="8" w:space="0" w:color="auto"/>
            </w:tcBorders>
            <w:shd w:val="clear" w:color="auto" w:fill="auto"/>
            <w:vAlign w:val="center"/>
          </w:tcPr>
          <w:p w14:paraId="55B786A5"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0</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4</w:t>
            </w:r>
          </w:p>
        </w:tc>
        <w:tc>
          <w:tcPr>
            <w:tcW w:w="394" w:type="dxa"/>
            <w:tcBorders>
              <w:top w:val="nil"/>
              <w:left w:val="single" w:sz="4" w:space="0" w:color="auto"/>
              <w:bottom w:val="single" w:sz="8" w:space="0" w:color="auto"/>
              <w:right w:val="single" w:sz="8" w:space="0" w:color="auto"/>
            </w:tcBorders>
            <w:shd w:val="clear" w:color="auto" w:fill="auto"/>
            <w:vAlign w:val="center"/>
          </w:tcPr>
          <w:p w14:paraId="7CB54E4A" w14:textId="77777777" w:rsidR="00246302" w:rsidRPr="00F14868" w:rsidRDefault="00246302" w:rsidP="00206F16">
            <w:pPr>
              <w:spacing w:after="0" w:line="240" w:lineRule="auto"/>
              <w:jc w:val="center"/>
              <w:rPr>
                <w:rFonts w:eastAsia="Times New Roman" w:cstheme="minorHAnsi"/>
                <w:color w:val="000000"/>
                <w:sz w:val="18"/>
                <w:szCs w:val="18"/>
                <w:lang w:eastAsia="sl-SI"/>
              </w:rPr>
            </w:pPr>
          </w:p>
        </w:tc>
        <w:tc>
          <w:tcPr>
            <w:tcW w:w="394" w:type="dxa"/>
            <w:tcBorders>
              <w:top w:val="nil"/>
              <w:left w:val="single" w:sz="4" w:space="0" w:color="auto"/>
              <w:bottom w:val="single" w:sz="8" w:space="0" w:color="auto"/>
              <w:right w:val="single" w:sz="8" w:space="0" w:color="auto"/>
            </w:tcBorders>
            <w:shd w:val="clear" w:color="auto" w:fill="auto"/>
            <w:vAlign w:val="center"/>
          </w:tcPr>
          <w:p w14:paraId="528971BB" w14:textId="77777777" w:rsidR="00246302" w:rsidRPr="00F14868" w:rsidRDefault="00246302" w:rsidP="00206F16">
            <w:pPr>
              <w:spacing w:after="0" w:line="240" w:lineRule="auto"/>
              <w:jc w:val="center"/>
              <w:rPr>
                <w:rFonts w:eastAsia="Times New Roman" w:cstheme="minorHAnsi"/>
                <w:color w:val="000000"/>
                <w:sz w:val="18"/>
                <w:szCs w:val="18"/>
                <w:lang w:eastAsia="sl-SI"/>
              </w:rPr>
            </w:pPr>
          </w:p>
        </w:tc>
        <w:tc>
          <w:tcPr>
            <w:tcW w:w="439" w:type="dxa"/>
            <w:tcBorders>
              <w:top w:val="nil"/>
              <w:left w:val="single" w:sz="4" w:space="0" w:color="auto"/>
              <w:bottom w:val="single" w:sz="8" w:space="0" w:color="auto"/>
              <w:right w:val="single" w:sz="8" w:space="0" w:color="auto"/>
            </w:tcBorders>
            <w:shd w:val="clear" w:color="auto" w:fill="auto"/>
            <w:vAlign w:val="center"/>
          </w:tcPr>
          <w:p w14:paraId="7DDCEEB8" w14:textId="77777777" w:rsidR="00246302" w:rsidRPr="00F14868" w:rsidRDefault="00246302" w:rsidP="00206F16">
            <w:pPr>
              <w:spacing w:after="0" w:line="240" w:lineRule="auto"/>
              <w:jc w:val="center"/>
              <w:rPr>
                <w:rFonts w:eastAsia="Times New Roman" w:cstheme="minorHAnsi"/>
                <w:color w:val="000000"/>
                <w:sz w:val="18"/>
                <w:szCs w:val="18"/>
                <w:lang w:eastAsia="sl-SI"/>
              </w:rPr>
            </w:pPr>
          </w:p>
        </w:tc>
      </w:tr>
      <w:tr w:rsidR="00246302" w:rsidRPr="00F14868" w14:paraId="227DB35A" w14:textId="77777777" w:rsidTr="00206F16">
        <w:trPr>
          <w:trHeight w:val="50"/>
          <w:jc w:val="center"/>
        </w:trPr>
        <w:tc>
          <w:tcPr>
            <w:tcW w:w="105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7BF9637D" w14:textId="77777777" w:rsidR="00246302" w:rsidRPr="00F14868" w:rsidRDefault="00246302" w:rsidP="00206F16">
            <w:pPr>
              <w:spacing w:after="0" w:line="240" w:lineRule="auto"/>
              <w:rPr>
                <w:rFonts w:ascii="Calibri" w:eastAsia="Times New Roman" w:hAnsi="Calibri" w:cs="Calibri"/>
                <w:color w:val="000000"/>
                <w:sz w:val="18"/>
                <w:szCs w:val="18"/>
                <w:lang w:eastAsia="sl-SI"/>
              </w:rPr>
            </w:pPr>
            <w:r w:rsidRPr="00482C72">
              <w:rPr>
                <w:rFonts w:ascii="Calibri" w:eastAsia="Times New Roman" w:hAnsi="Calibri" w:cs="Calibri"/>
                <w:color w:val="000000"/>
                <w:sz w:val="18"/>
                <w:szCs w:val="18"/>
                <w:lang w:eastAsia="sl-SI"/>
              </w:rPr>
              <w:t>Stopnja brezposelnosti po ADS (%)</w:t>
            </w:r>
          </w:p>
        </w:tc>
        <w:tc>
          <w:tcPr>
            <w:tcW w:w="414" w:type="dxa"/>
            <w:tcBorders>
              <w:top w:val="nil"/>
              <w:left w:val="nil"/>
              <w:bottom w:val="single" w:sz="8" w:space="0" w:color="auto"/>
              <w:right w:val="single" w:sz="8" w:space="0" w:color="auto"/>
            </w:tcBorders>
            <w:shd w:val="clear" w:color="auto" w:fill="auto"/>
            <w:vAlign w:val="center"/>
          </w:tcPr>
          <w:p w14:paraId="296AB0BE"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2</w:t>
            </w:r>
          </w:p>
        </w:tc>
        <w:tc>
          <w:tcPr>
            <w:tcW w:w="379" w:type="dxa"/>
            <w:tcBorders>
              <w:top w:val="nil"/>
              <w:left w:val="nil"/>
              <w:bottom w:val="single" w:sz="8" w:space="0" w:color="auto"/>
              <w:right w:val="single" w:sz="8" w:space="0" w:color="auto"/>
            </w:tcBorders>
            <w:shd w:val="clear" w:color="auto" w:fill="auto"/>
            <w:vAlign w:val="center"/>
          </w:tcPr>
          <w:p w14:paraId="7D0B2616"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1</w:t>
            </w:r>
          </w:p>
        </w:tc>
        <w:tc>
          <w:tcPr>
            <w:tcW w:w="387" w:type="dxa"/>
            <w:tcBorders>
              <w:top w:val="nil"/>
              <w:left w:val="nil"/>
              <w:bottom w:val="single" w:sz="8" w:space="0" w:color="auto"/>
              <w:right w:val="single" w:sz="8" w:space="0" w:color="auto"/>
            </w:tcBorders>
            <w:shd w:val="clear" w:color="auto" w:fill="auto"/>
            <w:vAlign w:val="center"/>
          </w:tcPr>
          <w:p w14:paraId="2FC11B9F"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3</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9</w:t>
            </w:r>
          </w:p>
        </w:tc>
        <w:tc>
          <w:tcPr>
            <w:tcW w:w="503" w:type="dxa"/>
            <w:tcBorders>
              <w:top w:val="nil"/>
              <w:left w:val="nil"/>
              <w:bottom w:val="single" w:sz="8" w:space="0" w:color="auto"/>
              <w:right w:val="single" w:sz="8" w:space="0" w:color="auto"/>
            </w:tcBorders>
            <w:shd w:val="clear" w:color="auto" w:fill="auto"/>
            <w:vAlign w:val="center"/>
          </w:tcPr>
          <w:p w14:paraId="1E4D5F88"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3</w:t>
            </w:r>
          </w:p>
        </w:tc>
        <w:tc>
          <w:tcPr>
            <w:tcW w:w="390" w:type="dxa"/>
            <w:tcBorders>
              <w:top w:val="nil"/>
              <w:left w:val="nil"/>
              <w:bottom w:val="single" w:sz="8" w:space="0" w:color="auto"/>
              <w:right w:val="single" w:sz="8" w:space="0" w:color="auto"/>
            </w:tcBorders>
            <w:shd w:val="clear" w:color="auto" w:fill="auto"/>
            <w:vAlign w:val="center"/>
          </w:tcPr>
          <w:p w14:paraId="1956A3CC"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3</w:t>
            </w:r>
          </w:p>
        </w:tc>
        <w:tc>
          <w:tcPr>
            <w:tcW w:w="368" w:type="dxa"/>
            <w:tcBorders>
              <w:top w:val="nil"/>
              <w:left w:val="nil"/>
              <w:bottom w:val="single" w:sz="8" w:space="0" w:color="auto"/>
              <w:right w:val="single" w:sz="8" w:space="0" w:color="auto"/>
            </w:tcBorders>
            <w:shd w:val="clear" w:color="auto" w:fill="auto"/>
            <w:vAlign w:val="center"/>
          </w:tcPr>
          <w:p w14:paraId="2BD69636"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1</w:t>
            </w:r>
          </w:p>
        </w:tc>
        <w:tc>
          <w:tcPr>
            <w:tcW w:w="368" w:type="dxa"/>
            <w:tcBorders>
              <w:top w:val="nil"/>
              <w:left w:val="nil"/>
              <w:bottom w:val="single" w:sz="8" w:space="0" w:color="auto"/>
              <w:right w:val="single" w:sz="8" w:space="0" w:color="auto"/>
            </w:tcBorders>
            <w:shd w:val="clear" w:color="auto" w:fill="auto"/>
            <w:vAlign w:val="center"/>
          </w:tcPr>
          <w:p w14:paraId="624D6BEF"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3</w:t>
            </w:r>
          </w:p>
        </w:tc>
        <w:tc>
          <w:tcPr>
            <w:tcW w:w="325" w:type="dxa"/>
            <w:tcBorders>
              <w:top w:val="nil"/>
              <w:left w:val="nil"/>
              <w:bottom w:val="single" w:sz="8" w:space="0" w:color="auto"/>
              <w:right w:val="single" w:sz="8" w:space="0" w:color="auto"/>
            </w:tcBorders>
            <w:shd w:val="clear" w:color="auto" w:fill="auto"/>
            <w:vAlign w:val="center"/>
          </w:tcPr>
          <w:p w14:paraId="4F329341"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1</w:t>
            </w:r>
          </w:p>
        </w:tc>
        <w:tc>
          <w:tcPr>
            <w:tcW w:w="368" w:type="dxa"/>
            <w:tcBorders>
              <w:top w:val="nil"/>
              <w:left w:val="nil"/>
              <w:bottom w:val="single" w:sz="8" w:space="0" w:color="auto"/>
              <w:right w:val="single" w:sz="8" w:space="0" w:color="auto"/>
            </w:tcBorders>
            <w:shd w:val="clear" w:color="auto" w:fill="auto"/>
            <w:vAlign w:val="center"/>
          </w:tcPr>
          <w:p w14:paraId="6247FFE0"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3</w:t>
            </w:r>
          </w:p>
        </w:tc>
        <w:tc>
          <w:tcPr>
            <w:tcW w:w="378" w:type="dxa"/>
            <w:tcBorders>
              <w:top w:val="nil"/>
              <w:left w:val="nil"/>
              <w:bottom w:val="single" w:sz="8" w:space="0" w:color="auto"/>
              <w:right w:val="single" w:sz="8" w:space="0" w:color="auto"/>
            </w:tcBorders>
            <w:shd w:val="clear" w:color="auto" w:fill="auto"/>
            <w:vAlign w:val="center"/>
          </w:tcPr>
          <w:p w14:paraId="7F30175A"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5</w:t>
            </w:r>
          </w:p>
        </w:tc>
        <w:tc>
          <w:tcPr>
            <w:tcW w:w="362" w:type="dxa"/>
            <w:tcBorders>
              <w:top w:val="nil"/>
              <w:left w:val="nil"/>
              <w:bottom w:val="single" w:sz="8" w:space="0" w:color="auto"/>
              <w:right w:val="single" w:sz="8" w:space="0" w:color="auto"/>
            </w:tcBorders>
            <w:shd w:val="clear" w:color="auto" w:fill="auto"/>
            <w:vAlign w:val="center"/>
          </w:tcPr>
          <w:p w14:paraId="72FCD5DF"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9</w:t>
            </w:r>
          </w:p>
        </w:tc>
        <w:tc>
          <w:tcPr>
            <w:tcW w:w="394" w:type="dxa"/>
            <w:tcBorders>
              <w:top w:val="nil"/>
              <w:left w:val="nil"/>
              <w:bottom w:val="single" w:sz="8" w:space="0" w:color="auto"/>
              <w:right w:val="single" w:sz="8" w:space="0" w:color="auto"/>
            </w:tcBorders>
            <w:shd w:val="clear" w:color="auto" w:fill="auto"/>
            <w:vAlign w:val="center"/>
          </w:tcPr>
          <w:p w14:paraId="68A5C7B7"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3</w:t>
            </w:r>
          </w:p>
        </w:tc>
        <w:tc>
          <w:tcPr>
            <w:tcW w:w="394" w:type="dxa"/>
            <w:tcBorders>
              <w:top w:val="nil"/>
              <w:left w:val="nil"/>
              <w:bottom w:val="single" w:sz="8" w:space="0" w:color="auto"/>
              <w:right w:val="single" w:sz="4" w:space="0" w:color="auto"/>
            </w:tcBorders>
            <w:shd w:val="clear" w:color="auto" w:fill="auto"/>
            <w:vAlign w:val="center"/>
          </w:tcPr>
          <w:p w14:paraId="3AEBB37D"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3</w:t>
            </w:r>
          </w:p>
        </w:tc>
        <w:tc>
          <w:tcPr>
            <w:tcW w:w="395" w:type="dxa"/>
            <w:tcBorders>
              <w:top w:val="nil"/>
              <w:left w:val="single" w:sz="4" w:space="0" w:color="auto"/>
              <w:bottom w:val="single" w:sz="8" w:space="0" w:color="auto"/>
              <w:right w:val="single" w:sz="8" w:space="0" w:color="auto"/>
            </w:tcBorders>
            <w:shd w:val="clear" w:color="auto" w:fill="auto"/>
            <w:vAlign w:val="center"/>
          </w:tcPr>
          <w:p w14:paraId="7F518D7C"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1</w:t>
            </w:r>
          </w:p>
        </w:tc>
        <w:tc>
          <w:tcPr>
            <w:tcW w:w="400" w:type="dxa"/>
            <w:tcBorders>
              <w:top w:val="nil"/>
              <w:left w:val="single" w:sz="4" w:space="0" w:color="auto"/>
              <w:bottom w:val="single" w:sz="8" w:space="0" w:color="auto"/>
              <w:right w:val="single" w:sz="8" w:space="0" w:color="auto"/>
            </w:tcBorders>
            <w:shd w:val="clear" w:color="auto" w:fill="auto"/>
            <w:vAlign w:val="center"/>
          </w:tcPr>
          <w:p w14:paraId="76ADCE65"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3</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9</w:t>
            </w:r>
          </w:p>
        </w:tc>
        <w:tc>
          <w:tcPr>
            <w:tcW w:w="484" w:type="dxa"/>
            <w:tcBorders>
              <w:top w:val="nil"/>
              <w:left w:val="single" w:sz="4" w:space="0" w:color="auto"/>
              <w:bottom w:val="single" w:sz="8" w:space="0" w:color="auto"/>
              <w:right w:val="single" w:sz="8" w:space="0" w:color="auto"/>
            </w:tcBorders>
            <w:shd w:val="clear" w:color="auto" w:fill="auto"/>
            <w:vAlign w:val="center"/>
          </w:tcPr>
          <w:p w14:paraId="04D3FEBE"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2</w:t>
            </w:r>
          </w:p>
        </w:tc>
        <w:tc>
          <w:tcPr>
            <w:tcW w:w="394" w:type="dxa"/>
            <w:tcBorders>
              <w:top w:val="nil"/>
              <w:left w:val="single" w:sz="4" w:space="0" w:color="auto"/>
              <w:bottom w:val="single" w:sz="8" w:space="0" w:color="auto"/>
              <w:right w:val="single" w:sz="8" w:space="0" w:color="auto"/>
            </w:tcBorders>
            <w:shd w:val="clear" w:color="auto" w:fill="auto"/>
            <w:vAlign w:val="center"/>
          </w:tcPr>
          <w:p w14:paraId="53E070DA"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0</w:t>
            </w:r>
          </w:p>
        </w:tc>
        <w:tc>
          <w:tcPr>
            <w:tcW w:w="458" w:type="dxa"/>
            <w:tcBorders>
              <w:top w:val="nil"/>
              <w:left w:val="single" w:sz="4" w:space="0" w:color="auto"/>
              <w:bottom w:val="single" w:sz="8" w:space="0" w:color="auto"/>
              <w:right w:val="single" w:sz="8" w:space="0" w:color="auto"/>
            </w:tcBorders>
            <w:shd w:val="clear" w:color="auto" w:fill="auto"/>
            <w:vAlign w:val="center"/>
          </w:tcPr>
          <w:p w14:paraId="64562D04"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3</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8</w:t>
            </w:r>
          </w:p>
        </w:tc>
        <w:tc>
          <w:tcPr>
            <w:tcW w:w="332" w:type="dxa"/>
            <w:tcBorders>
              <w:top w:val="nil"/>
              <w:left w:val="single" w:sz="4" w:space="0" w:color="auto"/>
              <w:bottom w:val="single" w:sz="8" w:space="0" w:color="auto"/>
              <w:right w:val="single" w:sz="8" w:space="0" w:color="auto"/>
            </w:tcBorders>
            <w:shd w:val="clear" w:color="auto" w:fill="auto"/>
            <w:vAlign w:val="center"/>
          </w:tcPr>
          <w:p w14:paraId="5909D9C7"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3</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7</w:t>
            </w:r>
          </w:p>
        </w:tc>
        <w:tc>
          <w:tcPr>
            <w:tcW w:w="394" w:type="dxa"/>
            <w:tcBorders>
              <w:top w:val="nil"/>
              <w:left w:val="single" w:sz="4" w:space="0" w:color="auto"/>
              <w:bottom w:val="single" w:sz="8" w:space="0" w:color="auto"/>
              <w:right w:val="single" w:sz="8" w:space="0" w:color="auto"/>
            </w:tcBorders>
            <w:shd w:val="clear" w:color="auto" w:fill="auto"/>
            <w:vAlign w:val="center"/>
          </w:tcPr>
          <w:p w14:paraId="69F493A3" w14:textId="77777777" w:rsidR="00246302" w:rsidRPr="00F14868" w:rsidRDefault="00246302" w:rsidP="00206F16">
            <w:pPr>
              <w:spacing w:after="0" w:line="240" w:lineRule="auto"/>
              <w:jc w:val="center"/>
              <w:rPr>
                <w:rFonts w:eastAsia="Times New Roman" w:cstheme="minorHAnsi"/>
                <w:color w:val="000000"/>
                <w:sz w:val="18"/>
                <w:szCs w:val="18"/>
                <w:lang w:eastAsia="sl-SI"/>
              </w:rPr>
            </w:pPr>
            <w:r w:rsidRPr="00F14868">
              <w:rPr>
                <w:rFonts w:eastAsia="Times New Roman" w:cstheme="minorHAnsi"/>
                <w:sz w:val="18"/>
                <w:szCs w:val="18"/>
              </w:rPr>
              <w:t>4</w:t>
            </w:r>
            <w:r w:rsidRPr="00482C72">
              <w:rPr>
                <w:rFonts w:eastAsia="Times New Roman" w:cstheme="minorHAnsi"/>
                <w:sz w:val="18"/>
                <w:szCs w:val="18"/>
              </w:rPr>
              <w:t>,</w:t>
            </w:r>
            <w:r w:rsidRPr="00F14868">
              <w:rPr>
                <w:rFonts w:eastAsia="Times New Roman" w:cstheme="minorHAnsi"/>
                <w:sz w:val="18"/>
                <w:szCs w:val="18"/>
              </w:rPr>
              <w:t>0</w:t>
            </w:r>
          </w:p>
        </w:tc>
        <w:tc>
          <w:tcPr>
            <w:tcW w:w="394" w:type="dxa"/>
            <w:tcBorders>
              <w:top w:val="nil"/>
              <w:left w:val="single" w:sz="4" w:space="0" w:color="auto"/>
              <w:bottom w:val="single" w:sz="8" w:space="0" w:color="auto"/>
              <w:right w:val="single" w:sz="8" w:space="0" w:color="auto"/>
            </w:tcBorders>
            <w:shd w:val="clear" w:color="auto" w:fill="auto"/>
            <w:vAlign w:val="center"/>
          </w:tcPr>
          <w:p w14:paraId="66D0C714" w14:textId="77777777" w:rsidR="00246302" w:rsidRPr="00F14868" w:rsidRDefault="00246302" w:rsidP="00206F16">
            <w:pPr>
              <w:spacing w:after="0" w:line="240" w:lineRule="auto"/>
              <w:jc w:val="center"/>
              <w:rPr>
                <w:rFonts w:eastAsia="Times New Roman" w:cstheme="minorHAnsi"/>
                <w:color w:val="000000"/>
                <w:sz w:val="18"/>
                <w:szCs w:val="18"/>
                <w:lang w:eastAsia="sl-SI"/>
              </w:rPr>
            </w:pPr>
            <w:r w:rsidRPr="00F14868">
              <w:rPr>
                <w:rFonts w:eastAsia="Times New Roman" w:cstheme="minorHAnsi"/>
                <w:sz w:val="18"/>
                <w:szCs w:val="18"/>
              </w:rPr>
              <w:t>3</w:t>
            </w:r>
            <w:r w:rsidRPr="00482C72">
              <w:rPr>
                <w:rFonts w:eastAsia="Times New Roman" w:cstheme="minorHAnsi"/>
                <w:sz w:val="18"/>
                <w:szCs w:val="18"/>
              </w:rPr>
              <w:t>,</w:t>
            </w:r>
            <w:r w:rsidRPr="00F14868">
              <w:rPr>
                <w:rFonts w:eastAsia="Times New Roman" w:cstheme="minorHAnsi"/>
                <w:sz w:val="18"/>
                <w:szCs w:val="18"/>
              </w:rPr>
              <w:t>9</w:t>
            </w:r>
          </w:p>
        </w:tc>
        <w:tc>
          <w:tcPr>
            <w:tcW w:w="439" w:type="dxa"/>
            <w:tcBorders>
              <w:top w:val="nil"/>
              <w:left w:val="single" w:sz="4" w:space="0" w:color="auto"/>
              <w:bottom w:val="single" w:sz="8" w:space="0" w:color="auto"/>
              <w:right w:val="single" w:sz="8" w:space="0" w:color="auto"/>
            </w:tcBorders>
            <w:shd w:val="clear" w:color="auto" w:fill="auto"/>
            <w:vAlign w:val="center"/>
          </w:tcPr>
          <w:p w14:paraId="7272358F" w14:textId="77777777" w:rsidR="00246302" w:rsidRPr="00F14868" w:rsidRDefault="00246302" w:rsidP="00206F16">
            <w:pPr>
              <w:spacing w:after="0" w:line="240" w:lineRule="auto"/>
              <w:jc w:val="center"/>
              <w:rPr>
                <w:rFonts w:eastAsia="Times New Roman" w:cstheme="minorHAnsi"/>
                <w:color w:val="000000"/>
                <w:sz w:val="18"/>
                <w:szCs w:val="18"/>
                <w:lang w:eastAsia="sl-SI"/>
              </w:rPr>
            </w:pPr>
            <w:r w:rsidRPr="00F14868">
              <w:rPr>
                <w:rFonts w:eastAsia="Times New Roman" w:cstheme="minorHAnsi"/>
                <w:sz w:val="18"/>
                <w:szCs w:val="18"/>
              </w:rPr>
              <w:t>4</w:t>
            </w:r>
            <w:r w:rsidRPr="00482C72">
              <w:rPr>
                <w:rFonts w:eastAsia="Times New Roman" w:cstheme="minorHAnsi"/>
                <w:sz w:val="18"/>
                <w:szCs w:val="18"/>
              </w:rPr>
              <w:t>,</w:t>
            </w:r>
            <w:r w:rsidRPr="00F14868">
              <w:rPr>
                <w:rFonts w:eastAsia="Times New Roman" w:cstheme="minorHAnsi"/>
                <w:sz w:val="18"/>
                <w:szCs w:val="18"/>
              </w:rPr>
              <w:t>0</w:t>
            </w:r>
          </w:p>
        </w:tc>
      </w:tr>
      <w:tr w:rsidR="00246302" w:rsidRPr="00F14868" w14:paraId="72C3C551" w14:textId="77777777" w:rsidTr="00206F16">
        <w:trPr>
          <w:trHeight w:val="50"/>
          <w:jc w:val="center"/>
        </w:trPr>
        <w:tc>
          <w:tcPr>
            <w:tcW w:w="105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B5635AC" w14:textId="77777777" w:rsidR="00246302" w:rsidRPr="00F14868" w:rsidRDefault="00246302" w:rsidP="00206F16">
            <w:pPr>
              <w:spacing w:after="0" w:line="240" w:lineRule="auto"/>
              <w:rPr>
                <w:rFonts w:ascii="Calibri" w:eastAsia="Times New Roman" w:hAnsi="Calibri" w:cs="Calibri"/>
                <w:color w:val="000000"/>
                <w:sz w:val="18"/>
                <w:szCs w:val="18"/>
                <w:lang w:eastAsia="sl-SI"/>
              </w:rPr>
            </w:pPr>
            <w:r w:rsidRPr="00482C72">
              <w:rPr>
                <w:rFonts w:ascii="Calibri" w:eastAsia="Times New Roman" w:hAnsi="Calibri" w:cs="Calibri"/>
                <w:color w:val="000000"/>
                <w:sz w:val="18"/>
                <w:szCs w:val="18"/>
                <w:lang w:eastAsia="sl-SI"/>
              </w:rPr>
              <w:t>Inflacija (HICP, povprečje leta)</w:t>
            </w:r>
          </w:p>
        </w:tc>
        <w:tc>
          <w:tcPr>
            <w:tcW w:w="414" w:type="dxa"/>
            <w:tcBorders>
              <w:top w:val="nil"/>
              <w:left w:val="nil"/>
              <w:bottom w:val="single" w:sz="8" w:space="0" w:color="auto"/>
              <w:right w:val="single" w:sz="8" w:space="0" w:color="auto"/>
            </w:tcBorders>
            <w:shd w:val="clear" w:color="auto" w:fill="auto"/>
            <w:vAlign w:val="center"/>
          </w:tcPr>
          <w:p w14:paraId="4555E73E"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8</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9</w:t>
            </w:r>
          </w:p>
        </w:tc>
        <w:tc>
          <w:tcPr>
            <w:tcW w:w="379" w:type="dxa"/>
            <w:tcBorders>
              <w:top w:val="nil"/>
              <w:left w:val="nil"/>
              <w:bottom w:val="single" w:sz="8" w:space="0" w:color="auto"/>
              <w:right w:val="single" w:sz="8" w:space="0" w:color="auto"/>
            </w:tcBorders>
            <w:shd w:val="clear" w:color="auto" w:fill="auto"/>
            <w:vAlign w:val="center"/>
          </w:tcPr>
          <w:p w14:paraId="0B95149C"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6</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0</w:t>
            </w:r>
          </w:p>
        </w:tc>
        <w:tc>
          <w:tcPr>
            <w:tcW w:w="387" w:type="dxa"/>
            <w:tcBorders>
              <w:top w:val="nil"/>
              <w:left w:val="nil"/>
              <w:bottom w:val="single" w:sz="8" w:space="0" w:color="auto"/>
              <w:right w:val="single" w:sz="8" w:space="0" w:color="auto"/>
            </w:tcBorders>
            <w:shd w:val="clear" w:color="auto" w:fill="auto"/>
            <w:vAlign w:val="center"/>
          </w:tcPr>
          <w:p w14:paraId="71446B67"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9</w:t>
            </w:r>
          </w:p>
        </w:tc>
        <w:tc>
          <w:tcPr>
            <w:tcW w:w="503" w:type="dxa"/>
            <w:tcBorders>
              <w:top w:val="nil"/>
              <w:left w:val="nil"/>
              <w:bottom w:val="single" w:sz="8" w:space="0" w:color="auto"/>
              <w:right w:val="single" w:sz="8" w:space="0" w:color="auto"/>
            </w:tcBorders>
            <w:shd w:val="clear" w:color="auto" w:fill="auto"/>
            <w:vAlign w:val="center"/>
          </w:tcPr>
          <w:p w14:paraId="68D93A3D"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8</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9</w:t>
            </w:r>
          </w:p>
        </w:tc>
        <w:tc>
          <w:tcPr>
            <w:tcW w:w="390" w:type="dxa"/>
            <w:tcBorders>
              <w:top w:val="nil"/>
              <w:left w:val="nil"/>
              <w:bottom w:val="single" w:sz="8" w:space="0" w:color="auto"/>
              <w:right w:val="single" w:sz="8" w:space="0" w:color="auto"/>
            </w:tcBorders>
            <w:shd w:val="clear" w:color="auto" w:fill="auto"/>
            <w:vAlign w:val="center"/>
          </w:tcPr>
          <w:p w14:paraId="709C1EAF"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5</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1</w:t>
            </w:r>
          </w:p>
        </w:tc>
        <w:tc>
          <w:tcPr>
            <w:tcW w:w="368" w:type="dxa"/>
            <w:tcBorders>
              <w:top w:val="nil"/>
              <w:left w:val="nil"/>
              <w:bottom w:val="single" w:sz="8" w:space="0" w:color="auto"/>
              <w:right w:val="single" w:sz="8" w:space="0" w:color="auto"/>
            </w:tcBorders>
            <w:shd w:val="clear" w:color="auto" w:fill="auto"/>
            <w:vAlign w:val="center"/>
          </w:tcPr>
          <w:p w14:paraId="30520853"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9</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2</w:t>
            </w:r>
          </w:p>
        </w:tc>
        <w:tc>
          <w:tcPr>
            <w:tcW w:w="368" w:type="dxa"/>
            <w:tcBorders>
              <w:top w:val="nil"/>
              <w:left w:val="nil"/>
              <w:bottom w:val="single" w:sz="8" w:space="0" w:color="auto"/>
              <w:right w:val="single" w:sz="8" w:space="0" w:color="auto"/>
            </w:tcBorders>
            <w:shd w:val="clear" w:color="auto" w:fill="auto"/>
            <w:vAlign w:val="center"/>
          </w:tcPr>
          <w:p w14:paraId="56162F98"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6</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5</w:t>
            </w:r>
          </w:p>
        </w:tc>
        <w:tc>
          <w:tcPr>
            <w:tcW w:w="325" w:type="dxa"/>
            <w:tcBorders>
              <w:top w:val="nil"/>
              <w:left w:val="nil"/>
              <w:bottom w:val="single" w:sz="8" w:space="0" w:color="auto"/>
              <w:right w:val="single" w:sz="8" w:space="0" w:color="auto"/>
            </w:tcBorders>
            <w:shd w:val="clear" w:color="auto" w:fill="auto"/>
            <w:vAlign w:val="center"/>
          </w:tcPr>
          <w:p w14:paraId="2C2CB316"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3</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5</w:t>
            </w:r>
          </w:p>
        </w:tc>
        <w:tc>
          <w:tcPr>
            <w:tcW w:w="368" w:type="dxa"/>
            <w:tcBorders>
              <w:top w:val="nil"/>
              <w:left w:val="nil"/>
              <w:bottom w:val="single" w:sz="8" w:space="0" w:color="auto"/>
              <w:right w:val="single" w:sz="8" w:space="0" w:color="auto"/>
            </w:tcBorders>
            <w:shd w:val="clear" w:color="auto" w:fill="auto"/>
            <w:vAlign w:val="center"/>
          </w:tcPr>
          <w:p w14:paraId="49DF16CD"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9</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2</w:t>
            </w:r>
          </w:p>
        </w:tc>
        <w:tc>
          <w:tcPr>
            <w:tcW w:w="378" w:type="dxa"/>
            <w:tcBorders>
              <w:top w:val="nil"/>
              <w:left w:val="nil"/>
              <w:bottom w:val="single" w:sz="8" w:space="0" w:color="auto"/>
              <w:right w:val="single" w:sz="8" w:space="0" w:color="auto"/>
            </w:tcBorders>
            <w:shd w:val="clear" w:color="auto" w:fill="auto"/>
            <w:vAlign w:val="center"/>
          </w:tcPr>
          <w:p w14:paraId="0E7A9F13"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7</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5</w:t>
            </w:r>
          </w:p>
        </w:tc>
        <w:tc>
          <w:tcPr>
            <w:tcW w:w="362" w:type="dxa"/>
            <w:tcBorders>
              <w:top w:val="nil"/>
              <w:left w:val="nil"/>
              <w:bottom w:val="single" w:sz="8" w:space="0" w:color="auto"/>
              <w:right w:val="single" w:sz="8" w:space="0" w:color="auto"/>
            </w:tcBorders>
            <w:shd w:val="clear" w:color="auto" w:fill="auto"/>
            <w:vAlign w:val="center"/>
          </w:tcPr>
          <w:p w14:paraId="11356543"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4</w:t>
            </w:r>
          </w:p>
        </w:tc>
        <w:tc>
          <w:tcPr>
            <w:tcW w:w="394" w:type="dxa"/>
            <w:tcBorders>
              <w:top w:val="nil"/>
              <w:left w:val="nil"/>
              <w:bottom w:val="single" w:sz="8" w:space="0" w:color="auto"/>
              <w:right w:val="single" w:sz="8" w:space="0" w:color="auto"/>
            </w:tcBorders>
            <w:shd w:val="clear" w:color="auto" w:fill="auto"/>
            <w:vAlign w:val="center"/>
          </w:tcPr>
          <w:p w14:paraId="487A6826"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9</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3</w:t>
            </w:r>
          </w:p>
        </w:tc>
        <w:tc>
          <w:tcPr>
            <w:tcW w:w="394" w:type="dxa"/>
            <w:tcBorders>
              <w:top w:val="nil"/>
              <w:left w:val="nil"/>
              <w:bottom w:val="single" w:sz="8" w:space="0" w:color="auto"/>
              <w:right w:val="single" w:sz="4" w:space="0" w:color="auto"/>
            </w:tcBorders>
            <w:shd w:val="clear" w:color="auto" w:fill="auto"/>
            <w:vAlign w:val="center"/>
          </w:tcPr>
          <w:p w14:paraId="1AFA451C"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6</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8</w:t>
            </w:r>
          </w:p>
        </w:tc>
        <w:tc>
          <w:tcPr>
            <w:tcW w:w="395" w:type="dxa"/>
            <w:tcBorders>
              <w:top w:val="nil"/>
              <w:left w:val="single" w:sz="4" w:space="0" w:color="auto"/>
              <w:bottom w:val="single" w:sz="8" w:space="0" w:color="auto"/>
              <w:right w:val="single" w:sz="8" w:space="0" w:color="auto"/>
            </w:tcBorders>
            <w:shd w:val="clear" w:color="auto" w:fill="auto"/>
            <w:vAlign w:val="center"/>
          </w:tcPr>
          <w:p w14:paraId="0E3A0BB5"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2</w:t>
            </w:r>
          </w:p>
        </w:tc>
        <w:tc>
          <w:tcPr>
            <w:tcW w:w="400" w:type="dxa"/>
            <w:tcBorders>
              <w:top w:val="nil"/>
              <w:left w:val="single" w:sz="4" w:space="0" w:color="auto"/>
              <w:bottom w:val="single" w:sz="8" w:space="0" w:color="auto"/>
              <w:right w:val="single" w:sz="8" w:space="0" w:color="auto"/>
            </w:tcBorders>
            <w:shd w:val="clear" w:color="auto" w:fill="auto"/>
            <w:vAlign w:val="center"/>
          </w:tcPr>
          <w:p w14:paraId="63DFCBA2"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3</w:t>
            </w:r>
          </w:p>
        </w:tc>
        <w:tc>
          <w:tcPr>
            <w:tcW w:w="484" w:type="dxa"/>
            <w:tcBorders>
              <w:top w:val="nil"/>
              <w:left w:val="single" w:sz="4" w:space="0" w:color="auto"/>
              <w:bottom w:val="single" w:sz="8" w:space="0" w:color="auto"/>
              <w:right w:val="single" w:sz="8" w:space="0" w:color="auto"/>
            </w:tcBorders>
            <w:shd w:val="clear" w:color="auto" w:fill="auto"/>
            <w:vAlign w:val="center"/>
          </w:tcPr>
          <w:p w14:paraId="1B93FE7D"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8</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8</w:t>
            </w:r>
          </w:p>
        </w:tc>
        <w:tc>
          <w:tcPr>
            <w:tcW w:w="394" w:type="dxa"/>
            <w:tcBorders>
              <w:top w:val="nil"/>
              <w:left w:val="single" w:sz="4" w:space="0" w:color="auto"/>
              <w:bottom w:val="single" w:sz="8" w:space="0" w:color="auto"/>
              <w:right w:val="single" w:sz="8" w:space="0" w:color="auto"/>
            </w:tcBorders>
            <w:shd w:val="clear" w:color="auto" w:fill="auto"/>
            <w:vAlign w:val="center"/>
          </w:tcPr>
          <w:p w14:paraId="1796C5D3"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7</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1</w:t>
            </w:r>
          </w:p>
        </w:tc>
        <w:tc>
          <w:tcPr>
            <w:tcW w:w="458" w:type="dxa"/>
            <w:tcBorders>
              <w:top w:val="nil"/>
              <w:left w:val="single" w:sz="4" w:space="0" w:color="auto"/>
              <w:bottom w:val="single" w:sz="8" w:space="0" w:color="auto"/>
              <w:right w:val="single" w:sz="8" w:space="0" w:color="auto"/>
            </w:tcBorders>
            <w:shd w:val="clear" w:color="auto" w:fill="auto"/>
            <w:vAlign w:val="center"/>
          </w:tcPr>
          <w:p w14:paraId="0E2FDCEA"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4</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2</w:t>
            </w:r>
          </w:p>
        </w:tc>
        <w:tc>
          <w:tcPr>
            <w:tcW w:w="332" w:type="dxa"/>
            <w:tcBorders>
              <w:top w:val="nil"/>
              <w:left w:val="single" w:sz="4" w:space="0" w:color="auto"/>
              <w:bottom w:val="single" w:sz="8" w:space="0" w:color="auto"/>
              <w:right w:val="single" w:sz="8" w:space="0" w:color="auto"/>
            </w:tcBorders>
            <w:shd w:val="clear" w:color="auto" w:fill="auto"/>
            <w:vAlign w:val="center"/>
          </w:tcPr>
          <w:p w14:paraId="5D3AA565" w14:textId="77777777" w:rsidR="00246302" w:rsidRPr="00F14868" w:rsidRDefault="00246302" w:rsidP="00206F16">
            <w:pPr>
              <w:spacing w:after="0" w:line="240" w:lineRule="auto"/>
              <w:jc w:val="center"/>
              <w:rPr>
                <w:rFonts w:ascii="Calibri" w:eastAsia="Times New Roman" w:hAnsi="Calibri" w:cs="Calibri"/>
                <w:color w:val="000000"/>
                <w:sz w:val="18"/>
                <w:szCs w:val="18"/>
                <w:lang w:eastAsia="sl-SI"/>
              </w:rPr>
            </w:pPr>
            <w:r w:rsidRPr="00F14868">
              <w:rPr>
                <w:rFonts w:ascii="Calibri" w:eastAsia="Times New Roman" w:hAnsi="Calibri" w:cs="Calibri"/>
                <w:color w:val="000000"/>
                <w:sz w:val="18"/>
                <w:szCs w:val="18"/>
                <w:lang w:eastAsia="sl-SI"/>
              </w:rPr>
              <w:t>2</w:t>
            </w:r>
            <w:r w:rsidRPr="00482C72">
              <w:rPr>
                <w:rFonts w:ascii="Calibri" w:eastAsia="Times New Roman" w:hAnsi="Calibri" w:cs="Calibri"/>
                <w:color w:val="000000"/>
                <w:sz w:val="18"/>
                <w:szCs w:val="18"/>
                <w:lang w:eastAsia="sl-SI"/>
              </w:rPr>
              <w:t>,</w:t>
            </w:r>
            <w:r w:rsidRPr="00F14868">
              <w:rPr>
                <w:rFonts w:ascii="Calibri" w:eastAsia="Times New Roman" w:hAnsi="Calibri" w:cs="Calibri"/>
                <w:color w:val="000000"/>
                <w:sz w:val="18"/>
                <w:szCs w:val="18"/>
                <w:lang w:eastAsia="sl-SI"/>
              </w:rPr>
              <w:t>4</w:t>
            </w:r>
          </w:p>
        </w:tc>
        <w:tc>
          <w:tcPr>
            <w:tcW w:w="394" w:type="dxa"/>
            <w:tcBorders>
              <w:top w:val="nil"/>
              <w:left w:val="single" w:sz="4" w:space="0" w:color="auto"/>
              <w:bottom w:val="single" w:sz="8" w:space="0" w:color="auto"/>
              <w:right w:val="single" w:sz="8" w:space="0" w:color="auto"/>
            </w:tcBorders>
            <w:shd w:val="clear" w:color="auto" w:fill="auto"/>
            <w:vAlign w:val="center"/>
          </w:tcPr>
          <w:p w14:paraId="2DE7E9DC" w14:textId="77777777" w:rsidR="00246302" w:rsidRPr="00F14868" w:rsidRDefault="00246302" w:rsidP="00206F16">
            <w:pPr>
              <w:spacing w:after="0" w:line="240" w:lineRule="auto"/>
              <w:jc w:val="center"/>
              <w:rPr>
                <w:rFonts w:eastAsia="Times New Roman" w:cstheme="minorHAnsi"/>
                <w:color w:val="000000"/>
                <w:sz w:val="18"/>
                <w:szCs w:val="18"/>
                <w:lang w:eastAsia="sl-SI"/>
              </w:rPr>
            </w:pPr>
            <w:r w:rsidRPr="00F14868">
              <w:rPr>
                <w:rFonts w:eastAsia="Times New Roman" w:cstheme="minorHAnsi"/>
                <w:sz w:val="18"/>
                <w:szCs w:val="18"/>
              </w:rPr>
              <w:t>8</w:t>
            </w:r>
            <w:r w:rsidRPr="00482C72">
              <w:rPr>
                <w:rFonts w:eastAsia="Times New Roman" w:cstheme="minorHAnsi"/>
                <w:sz w:val="18"/>
                <w:szCs w:val="18"/>
              </w:rPr>
              <w:t>,</w:t>
            </w:r>
            <w:r w:rsidRPr="00F14868">
              <w:rPr>
                <w:rFonts w:eastAsia="Times New Roman" w:cstheme="minorHAnsi"/>
                <w:sz w:val="18"/>
                <w:szCs w:val="18"/>
              </w:rPr>
              <w:t>8</w:t>
            </w:r>
          </w:p>
        </w:tc>
        <w:tc>
          <w:tcPr>
            <w:tcW w:w="394" w:type="dxa"/>
            <w:tcBorders>
              <w:top w:val="nil"/>
              <w:left w:val="single" w:sz="4" w:space="0" w:color="auto"/>
              <w:bottom w:val="single" w:sz="8" w:space="0" w:color="auto"/>
              <w:right w:val="single" w:sz="8" w:space="0" w:color="auto"/>
            </w:tcBorders>
            <w:shd w:val="clear" w:color="auto" w:fill="auto"/>
            <w:vAlign w:val="center"/>
          </w:tcPr>
          <w:p w14:paraId="3503726B" w14:textId="77777777" w:rsidR="00246302" w:rsidRPr="00F14868" w:rsidRDefault="00246302" w:rsidP="00206F16">
            <w:pPr>
              <w:spacing w:after="0" w:line="240" w:lineRule="auto"/>
              <w:jc w:val="center"/>
              <w:rPr>
                <w:rFonts w:eastAsia="Times New Roman" w:cstheme="minorHAnsi"/>
                <w:color w:val="000000"/>
                <w:sz w:val="18"/>
                <w:szCs w:val="18"/>
                <w:lang w:eastAsia="sl-SI"/>
              </w:rPr>
            </w:pPr>
            <w:r w:rsidRPr="00F14868">
              <w:rPr>
                <w:rFonts w:eastAsia="Times New Roman" w:cstheme="minorHAnsi"/>
                <w:sz w:val="18"/>
                <w:szCs w:val="18"/>
              </w:rPr>
              <w:t>6</w:t>
            </w:r>
            <w:r w:rsidRPr="00482C72">
              <w:rPr>
                <w:rFonts w:eastAsia="Times New Roman" w:cstheme="minorHAnsi"/>
                <w:sz w:val="18"/>
                <w:szCs w:val="18"/>
              </w:rPr>
              <w:t>,</w:t>
            </w:r>
            <w:r w:rsidRPr="00F14868">
              <w:rPr>
                <w:rFonts w:eastAsia="Times New Roman" w:cstheme="minorHAnsi"/>
                <w:sz w:val="18"/>
                <w:szCs w:val="18"/>
              </w:rPr>
              <w:t>4</w:t>
            </w:r>
          </w:p>
        </w:tc>
        <w:tc>
          <w:tcPr>
            <w:tcW w:w="439" w:type="dxa"/>
            <w:tcBorders>
              <w:top w:val="nil"/>
              <w:left w:val="single" w:sz="4" w:space="0" w:color="auto"/>
              <w:bottom w:val="single" w:sz="8" w:space="0" w:color="auto"/>
              <w:right w:val="single" w:sz="8" w:space="0" w:color="auto"/>
            </w:tcBorders>
            <w:shd w:val="clear" w:color="auto" w:fill="auto"/>
            <w:vAlign w:val="center"/>
          </w:tcPr>
          <w:p w14:paraId="60493003" w14:textId="77777777" w:rsidR="00246302" w:rsidRPr="00F14868" w:rsidRDefault="00246302" w:rsidP="00206F16">
            <w:pPr>
              <w:spacing w:after="0" w:line="240" w:lineRule="auto"/>
              <w:jc w:val="center"/>
              <w:rPr>
                <w:rFonts w:eastAsia="Times New Roman" w:cstheme="minorHAnsi"/>
                <w:color w:val="000000"/>
                <w:sz w:val="18"/>
                <w:szCs w:val="18"/>
                <w:lang w:eastAsia="sl-SI"/>
              </w:rPr>
            </w:pPr>
            <w:r w:rsidRPr="00F14868">
              <w:rPr>
                <w:rFonts w:eastAsia="Times New Roman" w:cstheme="minorHAnsi"/>
                <w:sz w:val="18"/>
                <w:szCs w:val="18"/>
              </w:rPr>
              <w:t>4</w:t>
            </w:r>
            <w:r w:rsidRPr="00482C72">
              <w:rPr>
                <w:rFonts w:eastAsia="Times New Roman" w:cstheme="minorHAnsi"/>
                <w:sz w:val="18"/>
                <w:szCs w:val="18"/>
              </w:rPr>
              <w:t>,</w:t>
            </w:r>
            <w:r w:rsidRPr="00F14868">
              <w:rPr>
                <w:rFonts w:eastAsia="Times New Roman" w:cstheme="minorHAnsi"/>
                <w:sz w:val="18"/>
                <w:szCs w:val="18"/>
              </w:rPr>
              <w:t>5</w:t>
            </w:r>
          </w:p>
        </w:tc>
      </w:tr>
    </w:tbl>
    <w:bookmarkEnd w:id="2"/>
    <w:p w14:paraId="542DC899" w14:textId="7578D449" w:rsidR="00EF2DD1" w:rsidRPr="007D5FB5" w:rsidRDefault="00464D3A" w:rsidP="008C6EF9">
      <w:pPr>
        <w:overflowPunct w:val="0"/>
        <w:autoSpaceDE w:val="0"/>
        <w:autoSpaceDN w:val="0"/>
        <w:adjustRightInd w:val="0"/>
        <w:spacing w:after="240" w:line="288" w:lineRule="auto"/>
        <w:jc w:val="both"/>
        <w:textAlignment w:val="baseline"/>
        <w:rPr>
          <w:rFonts w:ascii="Arial" w:hAnsi="Arial" w:cs="Arial"/>
          <w:iCs/>
          <w:sz w:val="20"/>
          <w:szCs w:val="20"/>
        </w:rPr>
      </w:pPr>
      <w:r w:rsidRPr="007D5FB5">
        <w:rPr>
          <w:rFonts w:ascii="Arial" w:hAnsi="Arial" w:cs="Arial"/>
          <w:iCs/>
          <w:sz w:val="20"/>
          <w:szCs w:val="20"/>
        </w:rPr>
        <w:t>Vir: UMAR, IMF, EK, OECD, BS.</w:t>
      </w:r>
    </w:p>
    <w:p w14:paraId="64B0435A" w14:textId="378EF0E1" w:rsidR="00EF2DD1" w:rsidRPr="00D13496" w:rsidRDefault="00EF2DD1" w:rsidP="008C6EF9">
      <w:pPr>
        <w:overflowPunct w:val="0"/>
        <w:autoSpaceDE w:val="0"/>
        <w:autoSpaceDN w:val="0"/>
        <w:adjustRightInd w:val="0"/>
        <w:spacing w:after="240" w:line="288" w:lineRule="auto"/>
        <w:jc w:val="both"/>
        <w:textAlignment w:val="baseline"/>
        <w:rPr>
          <w:rFonts w:ascii="Arial" w:hAnsi="Arial" w:cs="Arial"/>
          <w:i/>
          <w:sz w:val="20"/>
          <w:szCs w:val="20"/>
        </w:rPr>
      </w:pPr>
      <w:r w:rsidRPr="00D13496">
        <w:rPr>
          <w:rFonts w:ascii="Arial" w:hAnsi="Arial" w:cs="Arial"/>
          <w:i/>
          <w:sz w:val="20"/>
          <w:szCs w:val="20"/>
        </w:rPr>
        <w:t>Prihodnja fiskalna politika</w:t>
      </w:r>
    </w:p>
    <w:p w14:paraId="44903A65" w14:textId="75EB17E1" w:rsidR="004D55CE" w:rsidRPr="00D13496" w:rsidRDefault="003C4FC9" w:rsidP="003C5AE9">
      <w:pPr>
        <w:jc w:val="both"/>
        <w:rPr>
          <w:rFonts w:ascii="Arial" w:hAnsi="Arial" w:cs="Arial"/>
          <w:iCs/>
          <w:sz w:val="20"/>
          <w:szCs w:val="20"/>
        </w:rPr>
      </w:pPr>
      <w:r w:rsidRPr="00D13496">
        <w:rPr>
          <w:rFonts w:ascii="Arial" w:hAnsi="Arial" w:cs="Arial"/>
          <w:iCs/>
          <w:sz w:val="20"/>
          <w:szCs w:val="20"/>
        </w:rPr>
        <w:t xml:space="preserve">Fiskalni svet v </w:t>
      </w:r>
      <w:r w:rsidR="00EE7E18" w:rsidRPr="00D13496">
        <w:rPr>
          <w:rFonts w:ascii="Arial" w:hAnsi="Arial" w:cs="Arial"/>
          <w:iCs/>
          <w:sz w:val="20"/>
          <w:szCs w:val="20"/>
        </w:rPr>
        <w:t>O</w:t>
      </w:r>
      <w:r w:rsidRPr="00D13496">
        <w:rPr>
          <w:rFonts w:ascii="Arial" w:hAnsi="Arial" w:cs="Arial"/>
          <w:iCs/>
          <w:sz w:val="20"/>
          <w:szCs w:val="20"/>
        </w:rPr>
        <w:t xml:space="preserve">ceni </w:t>
      </w:r>
      <w:r w:rsidR="00EE7E18" w:rsidRPr="00D13496">
        <w:rPr>
          <w:rFonts w:ascii="Arial" w:hAnsi="Arial" w:cs="Arial"/>
          <w:iCs/>
          <w:sz w:val="20"/>
          <w:szCs w:val="20"/>
        </w:rPr>
        <w:t>ocenjuje (</w:t>
      </w:r>
      <w:r w:rsidRPr="00D13496">
        <w:rPr>
          <w:rFonts w:ascii="Arial" w:hAnsi="Arial" w:cs="Arial"/>
          <w:iCs/>
          <w:sz w:val="20"/>
          <w:szCs w:val="20"/>
        </w:rPr>
        <w:t>podobno kot Evropska komisija glede splošne odstopne klavzule na ravni EU</w:t>
      </w:r>
      <w:r w:rsidR="00EE7E18" w:rsidRPr="00D13496">
        <w:rPr>
          <w:rFonts w:ascii="Arial" w:hAnsi="Arial" w:cs="Arial"/>
          <w:iCs/>
          <w:sz w:val="20"/>
          <w:szCs w:val="20"/>
        </w:rPr>
        <w:t>)</w:t>
      </w:r>
      <w:r w:rsidRPr="00D13496">
        <w:rPr>
          <w:rFonts w:ascii="Arial" w:hAnsi="Arial" w:cs="Arial"/>
          <w:iCs/>
          <w:sz w:val="20"/>
          <w:szCs w:val="20"/>
        </w:rPr>
        <w:t xml:space="preserve">, da tudi na podlagi </w:t>
      </w:r>
      <w:proofErr w:type="spellStart"/>
      <w:r w:rsidR="001604C1" w:rsidRPr="00D13496">
        <w:rPr>
          <w:rFonts w:ascii="Arial" w:hAnsi="Arial" w:cs="Arial"/>
          <w:iCs/>
          <w:sz w:val="20"/>
          <w:szCs w:val="20"/>
        </w:rPr>
        <w:t>ZFisP</w:t>
      </w:r>
      <w:proofErr w:type="spellEnd"/>
      <w:r w:rsidRPr="00D13496">
        <w:rPr>
          <w:rFonts w:ascii="Arial" w:hAnsi="Arial" w:cs="Arial"/>
          <w:iCs/>
          <w:sz w:val="20"/>
          <w:szCs w:val="20"/>
        </w:rPr>
        <w:t xml:space="preserve"> ne bo več razlogov za uveljavljanje izjemnih okoliščin v letu 2024. To pomeni, da bo v prihodnjih letih treba ponovno spoštovati zahteve fiskalnih pravi</w:t>
      </w:r>
      <w:r w:rsidR="000C6864" w:rsidRPr="00D13496">
        <w:rPr>
          <w:rFonts w:ascii="Arial" w:hAnsi="Arial" w:cs="Arial"/>
          <w:iCs/>
          <w:sz w:val="20"/>
          <w:szCs w:val="20"/>
        </w:rPr>
        <w:t>l</w:t>
      </w:r>
      <w:r w:rsidRPr="00D13496">
        <w:rPr>
          <w:rFonts w:ascii="Arial" w:hAnsi="Arial" w:cs="Arial"/>
          <w:iCs/>
          <w:sz w:val="20"/>
          <w:szCs w:val="20"/>
        </w:rPr>
        <w:t>.</w:t>
      </w:r>
      <w:r w:rsidR="000C6864" w:rsidRPr="00D13496">
        <w:rPr>
          <w:rFonts w:ascii="Arial" w:hAnsi="Arial" w:cs="Arial"/>
          <w:iCs/>
          <w:sz w:val="20"/>
          <w:szCs w:val="20"/>
        </w:rPr>
        <w:t xml:space="preserve"> Ker pa veljavna fiskalna pravila postavljajo</w:t>
      </w:r>
      <w:r w:rsidR="00CB7D16" w:rsidRPr="00D13496">
        <w:rPr>
          <w:rFonts w:ascii="Arial" w:hAnsi="Arial" w:cs="Arial"/>
          <w:iCs/>
          <w:sz w:val="20"/>
          <w:szCs w:val="20"/>
        </w:rPr>
        <w:t xml:space="preserve"> v določenih elementih</w:t>
      </w:r>
      <w:r w:rsidR="000C6864" w:rsidRPr="00D13496">
        <w:rPr>
          <w:rFonts w:ascii="Arial" w:hAnsi="Arial" w:cs="Arial"/>
          <w:iCs/>
          <w:sz w:val="20"/>
          <w:szCs w:val="20"/>
        </w:rPr>
        <w:t xml:space="preserve"> nerealne zahteve</w:t>
      </w:r>
      <w:r w:rsidR="001E2735" w:rsidRPr="00D13496">
        <w:rPr>
          <w:rFonts w:ascii="Arial" w:hAnsi="Arial" w:cs="Arial"/>
          <w:iCs/>
          <w:sz w:val="20"/>
          <w:szCs w:val="20"/>
        </w:rPr>
        <w:t>, še posebej glede hitrosti zniževanja dolga</w:t>
      </w:r>
      <w:r w:rsidR="000C6864" w:rsidRPr="00D13496">
        <w:rPr>
          <w:rFonts w:ascii="Arial" w:hAnsi="Arial" w:cs="Arial"/>
          <w:iCs/>
          <w:sz w:val="20"/>
          <w:szCs w:val="20"/>
        </w:rPr>
        <w:t xml:space="preserve">, na ravni EU poteka intenzivna razprava o njihovi prenovi. Glede na predloge Evropske </w:t>
      </w:r>
      <w:r w:rsidR="00615EFE" w:rsidRPr="00D13496">
        <w:rPr>
          <w:rFonts w:ascii="Arial" w:hAnsi="Arial" w:cs="Arial"/>
          <w:iCs/>
          <w:sz w:val="20"/>
          <w:szCs w:val="20"/>
        </w:rPr>
        <w:t>komisije</w:t>
      </w:r>
      <w:r w:rsidR="000C6864" w:rsidRPr="00D13496">
        <w:rPr>
          <w:rFonts w:ascii="Arial" w:hAnsi="Arial" w:cs="Arial"/>
          <w:iCs/>
          <w:sz w:val="20"/>
          <w:szCs w:val="20"/>
        </w:rPr>
        <w:t xml:space="preserve"> bodo prihodnja pravila v </w:t>
      </w:r>
      <w:r w:rsidR="00615EFE" w:rsidRPr="00D13496">
        <w:rPr>
          <w:rFonts w:ascii="Arial" w:hAnsi="Arial" w:cs="Arial"/>
          <w:iCs/>
          <w:sz w:val="20"/>
          <w:szCs w:val="20"/>
        </w:rPr>
        <w:t>večji</w:t>
      </w:r>
      <w:r w:rsidR="000C6864" w:rsidRPr="00D13496">
        <w:rPr>
          <w:rFonts w:ascii="Arial" w:hAnsi="Arial" w:cs="Arial"/>
          <w:iCs/>
          <w:sz w:val="20"/>
          <w:szCs w:val="20"/>
        </w:rPr>
        <w:t xml:space="preserve"> meri </w:t>
      </w:r>
      <w:r w:rsidR="00615EFE" w:rsidRPr="00D13496">
        <w:rPr>
          <w:rFonts w:ascii="Arial" w:hAnsi="Arial" w:cs="Arial"/>
          <w:iCs/>
          <w:sz w:val="20"/>
          <w:szCs w:val="20"/>
        </w:rPr>
        <w:t>upoštevala</w:t>
      </w:r>
      <w:r w:rsidR="000C6864" w:rsidRPr="00D13496">
        <w:rPr>
          <w:rFonts w:ascii="Arial" w:hAnsi="Arial" w:cs="Arial"/>
          <w:iCs/>
          <w:sz w:val="20"/>
          <w:szCs w:val="20"/>
        </w:rPr>
        <w:t xml:space="preserve"> izhodiščno stanje držav glede vzdržnosti javnih financ, </w:t>
      </w:r>
      <w:r w:rsidR="00615EFE" w:rsidRPr="00D13496">
        <w:rPr>
          <w:rFonts w:ascii="Arial" w:hAnsi="Arial" w:cs="Arial"/>
          <w:iCs/>
          <w:sz w:val="20"/>
          <w:szCs w:val="20"/>
        </w:rPr>
        <w:t>zato vse države z dolgom na</w:t>
      </w:r>
      <w:r w:rsidR="001E2735" w:rsidRPr="00D13496">
        <w:rPr>
          <w:rFonts w:ascii="Arial" w:hAnsi="Arial" w:cs="Arial"/>
          <w:iCs/>
          <w:sz w:val="20"/>
          <w:szCs w:val="20"/>
        </w:rPr>
        <w:t>d</w:t>
      </w:r>
      <w:r w:rsidR="00615EFE" w:rsidRPr="00D13496">
        <w:rPr>
          <w:rFonts w:ascii="Arial" w:hAnsi="Arial" w:cs="Arial"/>
          <w:iCs/>
          <w:sz w:val="20"/>
          <w:szCs w:val="20"/>
        </w:rPr>
        <w:t xml:space="preserve"> 60 % BDP ne bodo zavezane k</w:t>
      </w:r>
      <w:r w:rsidR="00CB7D16" w:rsidRPr="00D13496">
        <w:rPr>
          <w:rFonts w:ascii="Arial" w:hAnsi="Arial" w:cs="Arial"/>
          <w:iCs/>
          <w:sz w:val="20"/>
          <w:szCs w:val="20"/>
        </w:rPr>
        <w:t xml:space="preserve"> znižanju strukturnega primanjkljaja </w:t>
      </w:r>
      <w:r w:rsidR="00634E55" w:rsidRPr="00D13496">
        <w:rPr>
          <w:rFonts w:ascii="Arial" w:hAnsi="Arial" w:cs="Arial"/>
          <w:iCs/>
          <w:sz w:val="20"/>
          <w:szCs w:val="20"/>
        </w:rPr>
        <w:t xml:space="preserve">po enotni stopnji </w:t>
      </w:r>
      <w:r w:rsidR="00CB7D16" w:rsidRPr="00D13496">
        <w:rPr>
          <w:rFonts w:ascii="Arial" w:hAnsi="Arial" w:cs="Arial"/>
          <w:iCs/>
          <w:sz w:val="20"/>
          <w:szCs w:val="20"/>
        </w:rPr>
        <w:t>v višini najmanj</w:t>
      </w:r>
      <w:r w:rsidR="00615EFE" w:rsidRPr="00D13496">
        <w:rPr>
          <w:rFonts w:ascii="Arial" w:hAnsi="Arial" w:cs="Arial"/>
          <w:iCs/>
          <w:sz w:val="20"/>
          <w:szCs w:val="20"/>
        </w:rPr>
        <w:t xml:space="preserve"> 0,</w:t>
      </w:r>
      <w:r w:rsidR="00CB7D16" w:rsidRPr="00D13496">
        <w:rPr>
          <w:rFonts w:ascii="Arial" w:hAnsi="Arial" w:cs="Arial"/>
          <w:iCs/>
          <w:sz w:val="20"/>
          <w:szCs w:val="20"/>
        </w:rPr>
        <w:t>5 odstotne točke letno. Komisija bo zato v Programih stabilnosti 2023 ocenjevala predvsem, če</w:t>
      </w:r>
      <w:r w:rsidR="009D238E" w:rsidRPr="00D13496">
        <w:rPr>
          <w:rFonts w:ascii="Arial" w:hAnsi="Arial" w:cs="Arial"/>
          <w:iCs/>
          <w:sz w:val="20"/>
          <w:szCs w:val="20"/>
        </w:rPr>
        <w:t xml:space="preserve"> javnofinančni</w:t>
      </w:r>
      <w:r w:rsidR="00CB7D16" w:rsidRPr="00D13496">
        <w:rPr>
          <w:rFonts w:ascii="Arial" w:hAnsi="Arial" w:cs="Arial"/>
          <w:iCs/>
          <w:sz w:val="20"/>
          <w:szCs w:val="20"/>
        </w:rPr>
        <w:t xml:space="preserve"> </w:t>
      </w:r>
      <w:r w:rsidR="009D238E" w:rsidRPr="00D13496">
        <w:rPr>
          <w:rFonts w:ascii="Arial" w:hAnsi="Arial" w:cs="Arial"/>
          <w:iCs/>
          <w:sz w:val="20"/>
          <w:szCs w:val="20"/>
        </w:rPr>
        <w:t xml:space="preserve">načrti tekom </w:t>
      </w:r>
      <w:r w:rsidR="00CB7D16" w:rsidRPr="00D13496">
        <w:rPr>
          <w:rFonts w:ascii="Arial" w:hAnsi="Arial" w:cs="Arial"/>
          <w:iCs/>
          <w:sz w:val="20"/>
          <w:szCs w:val="20"/>
        </w:rPr>
        <w:t>programsk</w:t>
      </w:r>
      <w:r w:rsidR="009D238E" w:rsidRPr="00D13496">
        <w:rPr>
          <w:rFonts w:ascii="Arial" w:hAnsi="Arial" w:cs="Arial"/>
          <w:iCs/>
          <w:sz w:val="20"/>
          <w:szCs w:val="20"/>
        </w:rPr>
        <w:t>ega</w:t>
      </w:r>
      <w:r w:rsidR="00CB7D16" w:rsidRPr="00D13496">
        <w:rPr>
          <w:rFonts w:ascii="Arial" w:hAnsi="Arial" w:cs="Arial"/>
          <w:iCs/>
          <w:sz w:val="20"/>
          <w:szCs w:val="20"/>
        </w:rPr>
        <w:t xml:space="preserve"> obdobj</w:t>
      </w:r>
      <w:r w:rsidR="009D238E" w:rsidRPr="00D13496">
        <w:rPr>
          <w:rFonts w:ascii="Arial" w:hAnsi="Arial" w:cs="Arial"/>
          <w:iCs/>
          <w:sz w:val="20"/>
          <w:szCs w:val="20"/>
        </w:rPr>
        <w:t>a</w:t>
      </w:r>
      <w:r w:rsidR="00CB7D16" w:rsidRPr="00D13496">
        <w:rPr>
          <w:rFonts w:ascii="Arial" w:hAnsi="Arial" w:cs="Arial"/>
          <w:iCs/>
          <w:sz w:val="20"/>
          <w:szCs w:val="20"/>
        </w:rPr>
        <w:t xml:space="preserve"> omogoča</w:t>
      </w:r>
      <w:r w:rsidR="009D238E" w:rsidRPr="00D13496">
        <w:rPr>
          <w:rFonts w:ascii="Arial" w:hAnsi="Arial" w:cs="Arial"/>
          <w:iCs/>
          <w:sz w:val="20"/>
          <w:szCs w:val="20"/>
        </w:rPr>
        <w:t>jo</w:t>
      </w:r>
      <w:r w:rsidR="00CB7D16" w:rsidRPr="00D13496">
        <w:rPr>
          <w:rFonts w:ascii="Arial" w:hAnsi="Arial" w:cs="Arial"/>
          <w:iCs/>
          <w:sz w:val="20"/>
          <w:szCs w:val="20"/>
        </w:rPr>
        <w:t xml:space="preserve"> znižanje primanjkljaja pod 3 % BDP oziroma da se </w:t>
      </w:r>
      <w:r w:rsidR="009D238E" w:rsidRPr="00D13496">
        <w:rPr>
          <w:rFonts w:ascii="Arial" w:hAnsi="Arial" w:cs="Arial"/>
          <w:iCs/>
          <w:sz w:val="20"/>
          <w:szCs w:val="20"/>
        </w:rPr>
        <w:t>primanjkljaj</w:t>
      </w:r>
      <w:r w:rsidR="00CB7D16" w:rsidRPr="00D13496">
        <w:rPr>
          <w:rFonts w:ascii="Arial" w:hAnsi="Arial" w:cs="Arial"/>
          <w:iCs/>
          <w:sz w:val="20"/>
          <w:szCs w:val="20"/>
        </w:rPr>
        <w:t xml:space="preserve"> ohranja pod to mejo, hkrati pa </w:t>
      </w:r>
      <w:r w:rsidR="009D238E" w:rsidRPr="00D13496">
        <w:rPr>
          <w:rFonts w:ascii="Arial" w:hAnsi="Arial" w:cs="Arial"/>
          <w:iCs/>
          <w:sz w:val="20"/>
          <w:szCs w:val="20"/>
        </w:rPr>
        <w:t xml:space="preserve">se zagotavlja tudi vzdržno zniževanje dolga. </w:t>
      </w:r>
    </w:p>
    <w:p w14:paraId="40A5C6D9" w14:textId="1A8400E3" w:rsidR="00E07C57" w:rsidRPr="00D13496" w:rsidRDefault="000C6864" w:rsidP="00E07C57">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lastRenderedPageBreak/>
        <w:t xml:space="preserve">V odsotnosti </w:t>
      </w:r>
      <w:r w:rsidR="00615EFE" w:rsidRPr="00D13496">
        <w:rPr>
          <w:rFonts w:ascii="Arial" w:hAnsi="Arial" w:cs="Arial"/>
          <w:iCs/>
          <w:sz w:val="20"/>
          <w:szCs w:val="20"/>
        </w:rPr>
        <w:t>končnega</w:t>
      </w:r>
      <w:r w:rsidRPr="00D13496">
        <w:rPr>
          <w:rFonts w:ascii="Arial" w:hAnsi="Arial" w:cs="Arial"/>
          <w:iCs/>
          <w:sz w:val="20"/>
          <w:szCs w:val="20"/>
        </w:rPr>
        <w:t xml:space="preserve"> dogovora</w:t>
      </w:r>
      <w:r w:rsidR="004D55CE" w:rsidRPr="00D13496">
        <w:rPr>
          <w:rFonts w:ascii="Arial" w:hAnsi="Arial" w:cs="Arial"/>
          <w:iCs/>
          <w:sz w:val="20"/>
          <w:szCs w:val="20"/>
        </w:rPr>
        <w:t xml:space="preserve"> glede prihodnjih fiskalnih pravil</w:t>
      </w:r>
      <w:r w:rsidR="00E07C57" w:rsidRPr="00D13496">
        <w:rPr>
          <w:rFonts w:ascii="Arial" w:hAnsi="Arial" w:cs="Arial"/>
          <w:iCs/>
          <w:sz w:val="20"/>
          <w:szCs w:val="20"/>
        </w:rPr>
        <w:t xml:space="preserve"> </w:t>
      </w:r>
      <w:r w:rsidRPr="00D13496">
        <w:rPr>
          <w:rFonts w:ascii="Arial" w:hAnsi="Arial" w:cs="Arial"/>
          <w:iCs/>
          <w:sz w:val="20"/>
          <w:szCs w:val="20"/>
        </w:rPr>
        <w:t>v</w:t>
      </w:r>
      <w:r w:rsidR="003C4FC9" w:rsidRPr="00D13496">
        <w:rPr>
          <w:rFonts w:ascii="Arial" w:hAnsi="Arial" w:cs="Arial"/>
          <w:iCs/>
          <w:sz w:val="20"/>
          <w:szCs w:val="20"/>
        </w:rPr>
        <w:t>lada</w:t>
      </w:r>
      <w:r w:rsidR="009D238E" w:rsidRPr="00D13496">
        <w:rPr>
          <w:rFonts w:ascii="Arial" w:hAnsi="Arial" w:cs="Arial"/>
          <w:iCs/>
          <w:sz w:val="20"/>
          <w:szCs w:val="20"/>
        </w:rPr>
        <w:t xml:space="preserve"> tako</w:t>
      </w:r>
      <w:r w:rsidR="003C4FC9" w:rsidRPr="00D13496">
        <w:rPr>
          <w:rFonts w:ascii="Arial" w:hAnsi="Arial" w:cs="Arial"/>
          <w:iCs/>
          <w:sz w:val="20"/>
          <w:szCs w:val="20"/>
        </w:rPr>
        <w:t xml:space="preserve"> v prihodnjih letih predvideva postopno </w:t>
      </w:r>
      <w:r w:rsidR="001E2735" w:rsidRPr="00D13496">
        <w:rPr>
          <w:rFonts w:ascii="Arial" w:hAnsi="Arial" w:cs="Arial"/>
          <w:iCs/>
          <w:sz w:val="20"/>
          <w:szCs w:val="20"/>
        </w:rPr>
        <w:t>zniževanje</w:t>
      </w:r>
      <w:r w:rsidR="003C4FC9" w:rsidRPr="00D13496">
        <w:rPr>
          <w:rFonts w:ascii="Arial" w:hAnsi="Arial" w:cs="Arial"/>
          <w:iCs/>
          <w:sz w:val="20"/>
          <w:szCs w:val="20"/>
        </w:rPr>
        <w:t xml:space="preserve"> javnofinančnega primanjkljaja</w:t>
      </w:r>
      <w:r w:rsidR="004D55CE" w:rsidRPr="00D13496">
        <w:rPr>
          <w:rFonts w:ascii="Arial" w:hAnsi="Arial" w:cs="Arial"/>
          <w:iCs/>
          <w:sz w:val="20"/>
          <w:szCs w:val="20"/>
        </w:rPr>
        <w:t xml:space="preserve"> </w:t>
      </w:r>
      <w:r w:rsidR="003C4FC9" w:rsidRPr="00D13496">
        <w:rPr>
          <w:rFonts w:ascii="Arial" w:hAnsi="Arial" w:cs="Arial"/>
          <w:iCs/>
          <w:sz w:val="20"/>
          <w:szCs w:val="20"/>
        </w:rPr>
        <w:t>in dolga v deležu BDP</w:t>
      </w:r>
      <w:r w:rsidR="004D55CE" w:rsidRPr="00D13496">
        <w:rPr>
          <w:rFonts w:ascii="Arial" w:hAnsi="Arial" w:cs="Arial"/>
          <w:iCs/>
          <w:sz w:val="20"/>
          <w:szCs w:val="20"/>
        </w:rPr>
        <w:t xml:space="preserve">. </w:t>
      </w:r>
      <w:r w:rsidR="003C5AE9" w:rsidRPr="00D13496">
        <w:rPr>
          <w:rFonts w:ascii="Arial" w:hAnsi="Arial" w:cs="Arial"/>
          <w:iCs/>
          <w:sz w:val="20"/>
          <w:szCs w:val="20"/>
        </w:rPr>
        <w:t>V letu 2023 je predviden nominalni primanjkljaj v višini 4,1 % BDP, ki pa bi bil pod mejo 3 % BDP</w:t>
      </w:r>
      <w:r w:rsidR="001E2735" w:rsidRPr="00D13496">
        <w:rPr>
          <w:rFonts w:ascii="Arial" w:hAnsi="Arial" w:cs="Arial"/>
          <w:iCs/>
          <w:sz w:val="20"/>
          <w:szCs w:val="20"/>
        </w:rPr>
        <w:t>,</w:t>
      </w:r>
      <w:r w:rsidR="003C5AE9" w:rsidRPr="00D13496">
        <w:rPr>
          <w:rFonts w:ascii="Arial" w:hAnsi="Arial" w:cs="Arial"/>
          <w:iCs/>
          <w:sz w:val="20"/>
          <w:szCs w:val="20"/>
        </w:rPr>
        <w:t xml:space="preserve"> </w:t>
      </w:r>
      <w:r w:rsidR="001E2735" w:rsidRPr="00D13496">
        <w:rPr>
          <w:rFonts w:ascii="Arial" w:hAnsi="Arial" w:cs="Arial"/>
          <w:iCs/>
          <w:sz w:val="20"/>
          <w:szCs w:val="20"/>
        </w:rPr>
        <w:t>če</w:t>
      </w:r>
      <w:r w:rsidR="003C5AE9" w:rsidRPr="00D13496">
        <w:rPr>
          <w:rFonts w:ascii="Arial" w:hAnsi="Arial" w:cs="Arial"/>
          <w:iCs/>
          <w:sz w:val="20"/>
          <w:szCs w:val="20"/>
        </w:rPr>
        <w:t xml:space="preserve"> država ne bi ukrepala v povezavi </w:t>
      </w:r>
      <w:r w:rsidR="001E2735" w:rsidRPr="00D13496">
        <w:rPr>
          <w:rFonts w:ascii="Arial" w:hAnsi="Arial" w:cs="Arial"/>
          <w:iCs/>
          <w:sz w:val="20"/>
          <w:szCs w:val="20"/>
        </w:rPr>
        <w:t>s</w:t>
      </w:r>
      <w:r w:rsidR="003C5AE9" w:rsidRPr="00D13496">
        <w:rPr>
          <w:rFonts w:ascii="Arial" w:hAnsi="Arial" w:cs="Arial"/>
          <w:iCs/>
          <w:sz w:val="20"/>
          <w:szCs w:val="20"/>
        </w:rPr>
        <w:t xml:space="preserve"> COVID-19 in energetsko krizo</w:t>
      </w:r>
      <w:r w:rsidR="00E07C57" w:rsidRPr="00D13496">
        <w:rPr>
          <w:rFonts w:ascii="Arial" w:hAnsi="Arial" w:cs="Arial"/>
          <w:iCs/>
          <w:sz w:val="20"/>
          <w:szCs w:val="20"/>
        </w:rPr>
        <w:t>,</w:t>
      </w:r>
      <w:r w:rsidR="003C5AE9" w:rsidRPr="00D13496">
        <w:rPr>
          <w:rFonts w:ascii="Arial" w:hAnsi="Arial" w:cs="Arial"/>
          <w:iCs/>
          <w:sz w:val="20"/>
          <w:szCs w:val="20"/>
        </w:rPr>
        <w:t xml:space="preserve"> kar </w:t>
      </w:r>
      <w:r w:rsidR="00E07C57" w:rsidRPr="00D13496">
        <w:rPr>
          <w:rFonts w:ascii="Arial" w:hAnsi="Arial" w:cs="Arial"/>
          <w:iCs/>
          <w:sz w:val="20"/>
          <w:szCs w:val="20"/>
        </w:rPr>
        <w:t xml:space="preserve">v svoji oceni </w:t>
      </w:r>
      <w:r w:rsidR="003C5AE9" w:rsidRPr="00D13496">
        <w:rPr>
          <w:rFonts w:ascii="Arial" w:hAnsi="Arial" w:cs="Arial"/>
          <w:iCs/>
          <w:sz w:val="20"/>
          <w:szCs w:val="20"/>
        </w:rPr>
        <w:t xml:space="preserve">ugotavlja tudi </w:t>
      </w:r>
      <w:r w:rsidR="00E07C57" w:rsidRPr="00D13496">
        <w:rPr>
          <w:rFonts w:ascii="Arial" w:hAnsi="Arial" w:cs="Arial"/>
          <w:iCs/>
          <w:sz w:val="20"/>
          <w:szCs w:val="20"/>
        </w:rPr>
        <w:t>F</w:t>
      </w:r>
      <w:r w:rsidR="003C5AE9" w:rsidRPr="00D13496">
        <w:rPr>
          <w:rFonts w:ascii="Arial" w:hAnsi="Arial" w:cs="Arial"/>
          <w:iCs/>
          <w:sz w:val="20"/>
          <w:szCs w:val="20"/>
        </w:rPr>
        <w:t xml:space="preserve">iskalni svet. Od leta 2024 naprej se nominalni saldo znižuje </w:t>
      </w:r>
      <w:r w:rsidR="00E07C57" w:rsidRPr="00D13496">
        <w:rPr>
          <w:rFonts w:ascii="Arial" w:hAnsi="Arial" w:cs="Arial"/>
          <w:iCs/>
          <w:sz w:val="20"/>
          <w:szCs w:val="20"/>
        </w:rPr>
        <w:t xml:space="preserve">za okoli 1 </w:t>
      </w:r>
      <w:r w:rsidR="001E2735" w:rsidRPr="00D13496">
        <w:rPr>
          <w:rFonts w:ascii="Arial" w:hAnsi="Arial" w:cs="Arial"/>
          <w:iCs/>
          <w:sz w:val="20"/>
          <w:szCs w:val="20"/>
        </w:rPr>
        <w:t>odstotno</w:t>
      </w:r>
      <w:r w:rsidR="00E07C57" w:rsidRPr="00D13496">
        <w:rPr>
          <w:rFonts w:ascii="Arial" w:hAnsi="Arial" w:cs="Arial"/>
          <w:iCs/>
          <w:sz w:val="20"/>
          <w:szCs w:val="20"/>
        </w:rPr>
        <w:t xml:space="preserve"> točko letno</w:t>
      </w:r>
      <w:r w:rsidR="003C5AE9" w:rsidRPr="00D13496">
        <w:rPr>
          <w:rFonts w:ascii="Arial" w:hAnsi="Arial" w:cs="Arial"/>
          <w:iCs/>
          <w:sz w:val="20"/>
          <w:szCs w:val="20"/>
        </w:rPr>
        <w:t xml:space="preserve">. </w:t>
      </w:r>
      <w:r w:rsidR="00E07C57" w:rsidRPr="00D13496">
        <w:rPr>
          <w:rFonts w:ascii="Arial" w:hAnsi="Arial" w:cs="Arial"/>
          <w:iCs/>
          <w:sz w:val="20"/>
          <w:szCs w:val="20"/>
        </w:rPr>
        <w:t xml:space="preserve">V preteklih štirih letih </w:t>
      </w:r>
      <w:r w:rsidR="00634E55" w:rsidRPr="00D13496">
        <w:rPr>
          <w:rFonts w:ascii="Arial" w:hAnsi="Arial" w:cs="Arial"/>
          <w:iCs/>
          <w:sz w:val="20"/>
          <w:szCs w:val="20"/>
        </w:rPr>
        <w:t>se</w:t>
      </w:r>
      <w:r w:rsidR="00E07C57" w:rsidRPr="00D13496">
        <w:rPr>
          <w:rFonts w:ascii="Arial" w:hAnsi="Arial" w:cs="Arial"/>
          <w:iCs/>
          <w:sz w:val="20"/>
          <w:szCs w:val="20"/>
        </w:rPr>
        <w:t xml:space="preserve"> ob veljavnosti splošne odstopne klavzule in velikih negotovostih strukturni položaj ni ocenjeval, zato tudi ni bilo relevantno ocenjevanje približevanja strukturnega salda k srednjeročnemu cilju (MTO). Je pa</w:t>
      </w:r>
      <w:r w:rsidR="00B82A8C" w:rsidRPr="00D13496">
        <w:rPr>
          <w:rFonts w:ascii="Arial" w:hAnsi="Arial" w:cs="Arial"/>
          <w:iCs/>
          <w:sz w:val="20"/>
          <w:szCs w:val="20"/>
        </w:rPr>
        <w:t xml:space="preserve"> pri ocenjevanju strukturnega stanja javnih financ</w:t>
      </w:r>
      <w:r w:rsidR="00E07C57" w:rsidRPr="00D13496">
        <w:rPr>
          <w:rFonts w:ascii="Arial" w:hAnsi="Arial" w:cs="Arial"/>
          <w:iCs/>
          <w:sz w:val="20"/>
          <w:szCs w:val="20"/>
        </w:rPr>
        <w:t xml:space="preserve"> potrebno upoštevati tudi dejstvo, da je strukturni saldo v Sloveniji precej volatilen, saj je odvisen od negotovih izračunov proizvodne vrzeli. </w:t>
      </w:r>
    </w:p>
    <w:p w14:paraId="4123E468" w14:textId="5ED2208C" w:rsidR="004D30AE" w:rsidRPr="00D13496" w:rsidRDefault="004D30AE" w:rsidP="004D30AE">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t xml:space="preserve">Fiskalni svet </w:t>
      </w:r>
      <w:r w:rsidR="00B82A8C" w:rsidRPr="00D13496">
        <w:rPr>
          <w:rFonts w:ascii="Arial" w:hAnsi="Arial" w:cs="Arial"/>
          <w:iCs/>
          <w:sz w:val="20"/>
          <w:szCs w:val="20"/>
        </w:rPr>
        <w:t xml:space="preserve">nadalje </w:t>
      </w:r>
      <w:r w:rsidRPr="00D13496">
        <w:rPr>
          <w:rFonts w:ascii="Arial" w:hAnsi="Arial" w:cs="Arial"/>
          <w:iCs/>
          <w:sz w:val="20"/>
          <w:szCs w:val="20"/>
        </w:rPr>
        <w:t>ugotavlja, da je naravnanost fiskalne politike v Programu stabilnosti 2023 sicer nevtralna, vendar se odstopanje pojavi po letu 2024 kot posledica visoke, zakonsko določene uskladitve socialnih nadomestil. Rast izdatkov za socialna nadomestila se je v času COVID-19 krize močno povečala in v obdobju 2020-2022 v povprečju znašala 8 % letno oz. 18,6 % BDP. V letu 2023 rast izdatkov za socialna nadomestila znaša 4,3 % (17 % BDP), kar je pod ravnjo iz leta 2019 (4,5 % ali 17,3 % BDP), v obdobju 2024-2026 pa v povprečju znaša okoli 6 %, v deležu BDP pa ostaja na ravni iz leta 2019 (17,3 % BDP). Rast bo tako posledica rednih uskladitev pokojnin kot tudi usklajevanja drugih socialnih nadomestil kot posledic</w:t>
      </w:r>
      <w:r w:rsidR="001E2735" w:rsidRPr="00D13496">
        <w:rPr>
          <w:rFonts w:ascii="Arial" w:hAnsi="Arial" w:cs="Arial"/>
          <w:iCs/>
          <w:sz w:val="20"/>
          <w:szCs w:val="20"/>
        </w:rPr>
        <w:t>a</w:t>
      </w:r>
      <w:r w:rsidRPr="00D13496">
        <w:rPr>
          <w:rFonts w:ascii="Arial" w:hAnsi="Arial" w:cs="Arial"/>
          <w:iCs/>
          <w:sz w:val="20"/>
          <w:szCs w:val="20"/>
        </w:rPr>
        <w:t xml:space="preserve"> povečane inflacije v letu 2023. Ob tem Fiskalni svet </w:t>
      </w:r>
      <w:r w:rsidR="001E2735" w:rsidRPr="00D13496">
        <w:rPr>
          <w:rFonts w:ascii="Arial" w:hAnsi="Arial" w:cs="Arial"/>
          <w:iCs/>
          <w:sz w:val="20"/>
          <w:szCs w:val="20"/>
        </w:rPr>
        <w:t>pravilno</w:t>
      </w:r>
      <w:r w:rsidRPr="00D13496">
        <w:rPr>
          <w:rFonts w:ascii="Arial" w:hAnsi="Arial" w:cs="Arial"/>
          <w:iCs/>
          <w:sz w:val="20"/>
          <w:szCs w:val="20"/>
        </w:rPr>
        <w:t xml:space="preserve"> ocenjuje, da se v prihodnjih letih znova poveča potreba po transferjih iz državnega proračuna za financiranje primanjkljajev Zavoda za zdravstveno zavarovanje</w:t>
      </w:r>
      <w:r w:rsidR="001604C1" w:rsidRPr="00D13496">
        <w:rPr>
          <w:rFonts w:ascii="Arial" w:hAnsi="Arial" w:cs="Arial"/>
          <w:iCs/>
          <w:sz w:val="20"/>
          <w:szCs w:val="20"/>
        </w:rPr>
        <w:t xml:space="preserve"> Slovenije</w:t>
      </w:r>
      <w:r w:rsidRPr="00D13496">
        <w:rPr>
          <w:rFonts w:ascii="Arial" w:hAnsi="Arial" w:cs="Arial"/>
          <w:iCs/>
          <w:sz w:val="20"/>
          <w:szCs w:val="20"/>
        </w:rPr>
        <w:t xml:space="preserve"> (</w:t>
      </w:r>
      <w:r w:rsidR="00B82A8C" w:rsidRPr="00D13496">
        <w:rPr>
          <w:rFonts w:ascii="Arial" w:hAnsi="Arial" w:cs="Arial"/>
          <w:iCs/>
          <w:sz w:val="20"/>
          <w:szCs w:val="20"/>
        </w:rPr>
        <w:t xml:space="preserve">v nadaljnjem besedilu: </w:t>
      </w:r>
      <w:r w:rsidRPr="00D13496">
        <w:rPr>
          <w:rFonts w:ascii="Arial" w:hAnsi="Arial" w:cs="Arial"/>
          <w:iCs/>
          <w:sz w:val="20"/>
          <w:szCs w:val="20"/>
        </w:rPr>
        <w:t>ZZZS) in Zavoda za pokojninsko in invalidsko zavarovanje</w:t>
      </w:r>
      <w:r w:rsidR="001604C1" w:rsidRPr="00D13496">
        <w:rPr>
          <w:rFonts w:ascii="Arial" w:hAnsi="Arial" w:cs="Arial"/>
          <w:iCs/>
          <w:sz w:val="20"/>
          <w:szCs w:val="20"/>
        </w:rPr>
        <w:t xml:space="preserve"> Slovenije</w:t>
      </w:r>
      <w:r w:rsidRPr="00D13496">
        <w:rPr>
          <w:rFonts w:ascii="Arial" w:hAnsi="Arial" w:cs="Arial"/>
          <w:iCs/>
          <w:sz w:val="20"/>
          <w:szCs w:val="20"/>
        </w:rPr>
        <w:t xml:space="preserve"> (</w:t>
      </w:r>
      <w:r w:rsidR="00B82A8C" w:rsidRPr="00D13496">
        <w:rPr>
          <w:rFonts w:ascii="Arial" w:hAnsi="Arial" w:cs="Arial"/>
          <w:iCs/>
          <w:sz w:val="20"/>
          <w:szCs w:val="20"/>
        </w:rPr>
        <w:t>v nadaljnjem besedil</w:t>
      </w:r>
      <w:r w:rsidR="001E2735" w:rsidRPr="00D13496">
        <w:rPr>
          <w:rFonts w:ascii="Arial" w:hAnsi="Arial" w:cs="Arial"/>
          <w:iCs/>
          <w:sz w:val="20"/>
          <w:szCs w:val="20"/>
        </w:rPr>
        <w:t>u</w:t>
      </w:r>
      <w:r w:rsidR="00B82A8C" w:rsidRPr="00D13496">
        <w:rPr>
          <w:rFonts w:ascii="Arial" w:hAnsi="Arial" w:cs="Arial"/>
          <w:iCs/>
          <w:sz w:val="20"/>
          <w:szCs w:val="20"/>
        </w:rPr>
        <w:t xml:space="preserve">: </w:t>
      </w:r>
      <w:r w:rsidRPr="00D13496">
        <w:rPr>
          <w:rFonts w:ascii="Arial" w:hAnsi="Arial" w:cs="Arial"/>
          <w:iCs/>
          <w:sz w:val="20"/>
          <w:szCs w:val="20"/>
        </w:rPr>
        <w:t xml:space="preserve">ZPIZ), pretežni del na račun povečanih odhodkov ZZZS, za kar je predvideno začasno financiranje iz državnega proračuna v višini 234 </w:t>
      </w:r>
      <w:r w:rsidR="00AA18C0" w:rsidRPr="00D13496">
        <w:rPr>
          <w:rFonts w:ascii="Arial" w:hAnsi="Arial" w:cs="Arial"/>
          <w:iCs/>
          <w:sz w:val="20"/>
          <w:szCs w:val="20"/>
        </w:rPr>
        <w:t>mio</w:t>
      </w:r>
      <w:r w:rsidRPr="00D13496">
        <w:rPr>
          <w:rFonts w:ascii="Arial" w:hAnsi="Arial" w:cs="Arial"/>
          <w:iCs/>
          <w:sz w:val="20"/>
          <w:szCs w:val="20"/>
        </w:rPr>
        <w:t xml:space="preserve"> </w:t>
      </w:r>
      <w:r w:rsidR="00AA18C0" w:rsidRPr="00D13496">
        <w:rPr>
          <w:rFonts w:ascii="Arial" w:hAnsi="Arial" w:cs="Arial"/>
          <w:iCs/>
          <w:sz w:val="20"/>
          <w:szCs w:val="20"/>
        </w:rPr>
        <w:t>EUR</w:t>
      </w:r>
      <w:r w:rsidR="001E2735" w:rsidRPr="00D13496">
        <w:rPr>
          <w:rFonts w:ascii="Arial" w:hAnsi="Arial" w:cs="Arial"/>
          <w:iCs/>
          <w:sz w:val="20"/>
          <w:szCs w:val="20"/>
        </w:rPr>
        <w:t xml:space="preserve"> letno</w:t>
      </w:r>
      <w:r w:rsidRPr="00D13496">
        <w:rPr>
          <w:rFonts w:ascii="Arial" w:hAnsi="Arial" w:cs="Arial"/>
          <w:iCs/>
          <w:sz w:val="20"/>
          <w:szCs w:val="20"/>
        </w:rPr>
        <w:t>.</w:t>
      </w:r>
    </w:p>
    <w:p w14:paraId="193D814C" w14:textId="17111AD5" w:rsidR="00EF2DD1" w:rsidRPr="00D13496" w:rsidRDefault="00B82A8C" w:rsidP="00EF2DD1">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t>Fiskalni svet v oceni ugotavlja tudi, da bodo za dolgoročno vzdržnost javnih financ potrebne strukturne reforme. Vlada se zaveda pomena d</w:t>
      </w:r>
      <w:r w:rsidR="00EF2DD1" w:rsidRPr="00D13496">
        <w:rPr>
          <w:rFonts w:ascii="Arial" w:hAnsi="Arial" w:cs="Arial"/>
          <w:iCs/>
          <w:sz w:val="20"/>
          <w:szCs w:val="20"/>
        </w:rPr>
        <w:t>olgoročn</w:t>
      </w:r>
      <w:r w:rsidRPr="00D13496">
        <w:rPr>
          <w:rFonts w:ascii="Arial" w:hAnsi="Arial" w:cs="Arial"/>
          <w:iCs/>
          <w:sz w:val="20"/>
          <w:szCs w:val="20"/>
        </w:rPr>
        <w:t>e</w:t>
      </w:r>
      <w:r w:rsidR="00EF2DD1" w:rsidRPr="00D13496">
        <w:rPr>
          <w:rFonts w:ascii="Arial" w:hAnsi="Arial" w:cs="Arial"/>
          <w:iCs/>
          <w:sz w:val="20"/>
          <w:szCs w:val="20"/>
        </w:rPr>
        <w:t xml:space="preserve"> vzdržnost javnih financ</w:t>
      </w:r>
      <w:r w:rsidRPr="00D13496">
        <w:rPr>
          <w:rFonts w:ascii="Arial" w:hAnsi="Arial" w:cs="Arial"/>
          <w:iCs/>
          <w:sz w:val="20"/>
          <w:szCs w:val="20"/>
        </w:rPr>
        <w:t>, zato namerava te izzive v prihodnosti tudi nasloviti.</w:t>
      </w:r>
      <w:r w:rsidR="00EF2DD1" w:rsidRPr="00D13496">
        <w:rPr>
          <w:rFonts w:ascii="Arial" w:hAnsi="Arial" w:cs="Arial"/>
          <w:iCs/>
          <w:sz w:val="20"/>
          <w:szCs w:val="20"/>
        </w:rPr>
        <w:t xml:space="preserve"> </w:t>
      </w:r>
      <w:r w:rsidRPr="00D13496">
        <w:rPr>
          <w:rFonts w:ascii="Arial" w:hAnsi="Arial" w:cs="Arial"/>
          <w:iCs/>
          <w:sz w:val="20"/>
          <w:szCs w:val="20"/>
        </w:rPr>
        <w:t>V</w:t>
      </w:r>
      <w:r w:rsidR="00EF2DD1" w:rsidRPr="00D13496">
        <w:rPr>
          <w:rFonts w:ascii="Arial" w:hAnsi="Arial" w:cs="Arial"/>
          <w:iCs/>
          <w:sz w:val="20"/>
          <w:szCs w:val="20"/>
        </w:rPr>
        <w:t>lada</w:t>
      </w:r>
      <w:r w:rsidRPr="00D13496">
        <w:rPr>
          <w:rFonts w:ascii="Arial" w:hAnsi="Arial" w:cs="Arial"/>
          <w:iCs/>
          <w:sz w:val="20"/>
          <w:szCs w:val="20"/>
        </w:rPr>
        <w:t xml:space="preserve"> tako že</w:t>
      </w:r>
      <w:r w:rsidR="00EF2DD1" w:rsidRPr="00D13496">
        <w:rPr>
          <w:rFonts w:ascii="Arial" w:hAnsi="Arial" w:cs="Arial"/>
          <w:iCs/>
          <w:sz w:val="20"/>
          <w:szCs w:val="20"/>
        </w:rPr>
        <w:t xml:space="preserve"> pripravlja in usklajuje strukturne spremembe</w:t>
      </w:r>
      <w:r w:rsidR="001E2735" w:rsidRPr="00D13496">
        <w:rPr>
          <w:rFonts w:ascii="Arial" w:hAnsi="Arial" w:cs="Arial"/>
          <w:iCs/>
          <w:sz w:val="20"/>
          <w:szCs w:val="20"/>
        </w:rPr>
        <w:t>,</w:t>
      </w:r>
      <w:r w:rsidR="00EF2DD1" w:rsidRPr="00D13496">
        <w:rPr>
          <w:rFonts w:ascii="Arial" w:hAnsi="Arial" w:cs="Arial"/>
          <w:iCs/>
          <w:sz w:val="20"/>
          <w:szCs w:val="20"/>
        </w:rPr>
        <w:t xml:space="preserve"> povezane s sistemom pokojninskega zavarovanja, zdravstva in dolgotrajne oskrbe, kakor tudi s sistemom usposabljanja in izobraževanja. Vendar pred dokončnim sprejemom sprememb učinkov v javno finančne projekcije ni ustrezno vključevati. </w:t>
      </w:r>
    </w:p>
    <w:p w14:paraId="009EEC33" w14:textId="3D7EE755" w:rsidR="00EF2DD1" w:rsidRPr="00D13496" w:rsidRDefault="00EF2DD1" w:rsidP="00EF2DD1">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t>Zaradi demografije in gospodarske rasti se bodo potrebe ob nespremenjenih sistem</w:t>
      </w:r>
      <w:r w:rsidR="001E2735" w:rsidRPr="00D13496">
        <w:rPr>
          <w:rFonts w:ascii="Arial" w:hAnsi="Arial" w:cs="Arial"/>
          <w:iCs/>
          <w:sz w:val="20"/>
          <w:szCs w:val="20"/>
        </w:rPr>
        <w:t>ih</w:t>
      </w:r>
      <w:r w:rsidRPr="00D13496">
        <w:rPr>
          <w:rFonts w:ascii="Arial" w:hAnsi="Arial" w:cs="Arial"/>
          <w:iCs/>
          <w:sz w:val="20"/>
          <w:szCs w:val="20"/>
        </w:rPr>
        <w:t xml:space="preserve"> socialne zaščite povečevali</w:t>
      </w:r>
      <w:r w:rsidR="00B82A8C" w:rsidRPr="00D13496">
        <w:rPr>
          <w:rFonts w:ascii="Arial" w:hAnsi="Arial" w:cs="Arial"/>
          <w:iCs/>
          <w:sz w:val="20"/>
          <w:szCs w:val="20"/>
        </w:rPr>
        <w:t>,</w:t>
      </w:r>
      <w:r w:rsidRPr="00D13496">
        <w:rPr>
          <w:rFonts w:ascii="Arial" w:hAnsi="Arial" w:cs="Arial"/>
          <w:iCs/>
          <w:sz w:val="20"/>
          <w:szCs w:val="20"/>
        </w:rPr>
        <w:t xml:space="preserve"> zato </w:t>
      </w:r>
      <w:r w:rsidR="004D30AE" w:rsidRPr="00D13496">
        <w:rPr>
          <w:rFonts w:ascii="Arial" w:hAnsi="Arial" w:cs="Arial"/>
          <w:iCs/>
          <w:sz w:val="20"/>
          <w:szCs w:val="20"/>
        </w:rPr>
        <w:t>vl</w:t>
      </w:r>
      <w:r w:rsidRPr="00D13496">
        <w:rPr>
          <w:rFonts w:ascii="Arial" w:hAnsi="Arial" w:cs="Arial"/>
          <w:iCs/>
          <w:sz w:val="20"/>
          <w:szCs w:val="20"/>
        </w:rPr>
        <w:t xml:space="preserve">ada tudi ustrezno načrtuje sredstva za te namene v državnem proračunu. </w:t>
      </w:r>
      <w:r w:rsidR="00784946" w:rsidRPr="00D13496">
        <w:rPr>
          <w:rFonts w:ascii="Arial" w:hAnsi="Arial" w:cs="Arial"/>
          <w:iCs/>
          <w:sz w:val="20"/>
          <w:szCs w:val="20"/>
        </w:rPr>
        <w:t>S</w:t>
      </w:r>
      <w:r w:rsidRPr="00D13496">
        <w:rPr>
          <w:rFonts w:ascii="Arial" w:hAnsi="Arial" w:cs="Arial"/>
          <w:iCs/>
          <w:sz w:val="20"/>
          <w:szCs w:val="20"/>
        </w:rPr>
        <w:t xml:space="preserve"> strukturnimi spremembami bo </w:t>
      </w:r>
      <w:r w:rsidR="00B82A8C" w:rsidRPr="00D13496">
        <w:rPr>
          <w:rFonts w:ascii="Arial" w:hAnsi="Arial" w:cs="Arial"/>
          <w:iCs/>
          <w:sz w:val="20"/>
          <w:szCs w:val="20"/>
        </w:rPr>
        <w:t>poleg</w:t>
      </w:r>
      <w:r w:rsidRPr="00D13496">
        <w:rPr>
          <w:rFonts w:ascii="Arial" w:hAnsi="Arial" w:cs="Arial"/>
          <w:iCs/>
          <w:sz w:val="20"/>
          <w:szCs w:val="20"/>
        </w:rPr>
        <w:t xml:space="preserve"> dostopnosti, kakovosti, primernosti naslovljena tudi javnofinančna vzdržnost. Ob tem želimo izpostaviti, da je pred kratkim (14. aprila 2023) izšel </w:t>
      </w:r>
      <w:proofErr w:type="spellStart"/>
      <w:r w:rsidRPr="00D13496">
        <w:rPr>
          <w:rFonts w:ascii="Arial" w:hAnsi="Arial" w:cs="Arial"/>
          <w:iCs/>
          <w:sz w:val="20"/>
          <w:szCs w:val="20"/>
        </w:rPr>
        <w:t>Debt</w:t>
      </w:r>
      <w:proofErr w:type="spellEnd"/>
      <w:r w:rsidRPr="00D13496">
        <w:rPr>
          <w:rFonts w:ascii="Arial" w:hAnsi="Arial" w:cs="Arial"/>
          <w:iCs/>
          <w:sz w:val="20"/>
          <w:szCs w:val="20"/>
        </w:rPr>
        <w:t xml:space="preserve"> </w:t>
      </w:r>
      <w:proofErr w:type="spellStart"/>
      <w:r w:rsidRPr="00D13496">
        <w:rPr>
          <w:rFonts w:ascii="Arial" w:hAnsi="Arial" w:cs="Arial"/>
          <w:iCs/>
          <w:sz w:val="20"/>
          <w:szCs w:val="20"/>
        </w:rPr>
        <w:t>Sustainability</w:t>
      </w:r>
      <w:proofErr w:type="spellEnd"/>
      <w:r w:rsidRPr="00D13496">
        <w:rPr>
          <w:rFonts w:ascii="Arial" w:hAnsi="Arial" w:cs="Arial"/>
          <w:iCs/>
          <w:sz w:val="20"/>
          <w:szCs w:val="20"/>
        </w:rPr>
        <w:t xml:space="preserve"> Monitor 2022, ki </w:t>
      </w:r>
      <w:r w:rsidR="001E2735" w:rsidRPr="00D13496">
        <w:rPr>
          <w:rFonts w:ascii="Arial" w:hAnsi="Arial" w:cs="Arial"/>
          <w:iCs/>
          <w:sz w:val="20"/>
          <w:szCs w:val="20"/>
        </w:rPr>
        <w:t xml:space="preserve">ga vsako leto objavi Evropska komisija in </w:t>
      </w:r>
      <w:r w:rsidRPr="00D13496">
        <w:rPr>
          <w:rFonts w:ascii="Arial" w:hAnsi="Arial" w:cs="Arial"/>
          <w:iCs/>
          <w:sz w:val="20"/>
          <w:szCs w:val="20"/>
        </w:rPr>
        <w:t>Slovenijo glede srednjeročne vzdržnosti javnega dolga uvršča v srednjo tveganost (izboljšanje iz visoke tveganosti).</w:t>
      </w:r>
    </w:p>
    <w:p w14:paraId="5C6A31B0" w14:textId="487D85C4" w:rsidR="00EF2DD1" w:rsidRPr="00D13496" w:rsidRDefault="00AA18C0" w:rsidP="00EF2DD1">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t>Nenazadnje vlada izpostavlja, da v</w:t>
      </w:r>
      <w:r w:rsidR="00EF2DD1" w:rsidRPr="00D13496">
        <w:rPr>
          <w:rFonts w:ascii="Arial" w:hAnsi="Arial" w:cs="Arial"/>
          <w:iCs/>
          <w:sz w:val="20"/>
          <w:szCs w:val="20"/>
        </w:rPr>
        <w:t xml:space="preserve"> osnutku </w:t>
      </w:r>
      <w:r w:rsidRPr="00D13496">
        <w:rPr>
          <w:rFonts w:ascii="Arial" w:hAnsi="Arial" w:cs="Arial"/>
          <w:iCs/>
          <w:sz w:val="20"/>
          <w:szCs w:val="20"/>
        </w:rPr>
        <w:t>P</w:t>
      </w:r>
      <w:r w:rsidR="00EF2DD1" w:rsidRPr="00D13496">
        <w:rPr>
          <w:rFonts w:ascii="Arial" w:hAnsi="Arial" w:cs="Arial"/>
          <w:iCs/>
          <w:sz w:val="20"/>
          <w:szCs w:val="20"/>
        </w:rPr>
        <w:t>rograma stabilnosti še ni</w:t>
      </w:r>
      <w:r w:rsidR="001E2735" w:rsidRPr="00D13496">
        <w:rPr>
          <w:rFonts w:ascii="Arial" w:hAnsi="Arial" w:cs="Arial"/>
          <w:iCs/>
          <w:sz w:val="20"/>
          <w:szCs w:val="20"/>
        </w:rPr>
        <w:t>so</w:t>
      </w:r>
      <w:r w:rsidR="00EF2DD1" w:rsidRPr="00D13496">
        <w:rPr>
          <w:rFonts w:ascii="Arial" w:hAnsi="Arial" w:cs="Arial"/>
          <w:iCs/>
          <w:sz w:val="20"/>
          <w:szCs w:val="20"/>
        </w:rPr>
        <w:t xml:space="preserve"> vključen</w:t>
      </w:r>
      <w:r w:rsidR="001E2735" w:rsidRPr="00D13496">
        <w:rPr>
          <w:rFonts w:ascii="Arial" w:hAnsi="Arial" w:cs="Arial"/>
          <w:iCs/>
          <w:sz w:val="20"/>
          <w:szCs w:val="20"/>
        </w:rPr>
        <w:t>a</w:t>
      </w:r>
      <w:r w:rsidR="00EF2DD1" w:rsidRPr="00D13496">
        <w:rPr>
          <w:rFonts w:ascii="Arial" w:hAnsi="Arial" w:cs="Arial"/>
          <w:iCs/>
          <w:sz w:val="20"/>
          <w:szCs w:val="20"/>
        </w:rPr>
        <w:t xml:space="preserve"> poglavj</w:t>
      </w:r>
      <w:r w:rsidR="001E2735" w:rsidRPr="00D13496">
        <w:rPr>
          <w:rFonts w:ascii="Arial" w:hAnsi="Arial" w:cs="Arial"/>
          <w:iCs/>
          <w:sz w:val="20"/>
          <w:szCs w:val="20"/>
        </w:rPr>
        <w:t>a</w:t>
      </w:r>
      <w:r w:rsidR="00EF2DD1" w:rsidRPr="00D13496">
        <w:rPr>
          <w:rFonts w:ascii="Arial" w:hAnsi="Arial" w:cs="Arial"/>
          <w:iCs/>
          <w:sz w:val="20"/>
          <w:szCs w:val="20"/>
        </w:rPr>
        <w:t>, ki</w:t>
      </w:r>
      <w:r w:rsidR="00AE58E4" w:rsidRPr="00D13496">
        <w:rPr>
          <w:rFonts w:ascii="Arial" w:hAnsi="Arial" w:cs="Arial"/>
          <w:iCs/>
          <w:sz w:val="20"/>
          <w:szCs w:val="20"/>
        </w:rPr>
        <w:t xml:space="preserve"> </w:t>
      </w:r>
      <w:r w:rsidR="00EF2DD1" w:rsidRPr="00D13496">
        <w:rPr>
          <w:rFonts w:ascii="Arial" w:hAnsi="Arial" w:cs="Arial"/>
          <w:iCs/>
          <w:sz w:val="20"/>
          <w:szCs w:val="20"/>
        </w:rPr>
        <w:t xml:space="preserve">natančneje </w:t>
      </w:r>
      <w:r w:rsidR="00F20D51" w:rsidRPr="00D13496">
        <w:rPr>
          <w:rFonts w:ascii="Arial" w:hAnsi="Arial" w:cs="Arial"/>
          <w:iCs/>
          <w:sz w:val="20"/>
          <w:szCs w:val="20"/>
        </w:rPr>
        <w:t xml:space="preserve">ocenjujejo </w:t>
      </w:r>
      <w:r w:rsidR="00EF2DD1" w:rsidRPr="00D13496">
        <w:rPr>
          <w:rFonts w:ascii="Arial" w:hAnsi="Arial" w:cs="Arial"/>
          <w:iCs/>
          <w:sz w:val="20"/>
          <w:szCs w:val="20"/>
        </w:rPr>
        <w:t xml:space="preserve">tveganja, na katera opozarja tudi </w:t>
      </w:r>
      <w:r w:rsidRPr="00D13496">
        <w:rPr>
          <w:rFonts w:ascii="Arial" w:hAnsi="Arial" w:cs="Arial"/>
          <w:iCs/>
          <w:sz w:val="20"/>
          <w:szCs w:val="20"/>
        </w:rPr>
        <w:t>F</w:t>
      </w:r>
      <w:r w:rsidR="00EF2DD1" w:rsidRPr="00D13496">
        <w:rPr>
          <w:rFonts w:ascii="Arial" w:hAnsi="Arial" w:cs="Arial"/>
          <w:iCs/>
          <w:sz w:val="20"/>
          <w:szCs w:val="20"/>
        </w:rPr>
        <w:t xml:space="preserve">iskalni svet. </w:t>
      </w:r>
      <w:r w:rsidRPr="00D13496">
        <w:rPr>
          <w:rFonts w:ascii="Arial" w:hAnsi="Arial" w:cs="Arial"/>
          <w:iCs/>
          <w:sz w:val="20"/>
          <w:szCs w:val="20"/>
        </w:rPr>
        <w:t>J</w:t>
      </w:r>
      <w:r w:rsidR="00EF2DD1" w:rsidRPr="00D13496">
        <w:rPr>
          <w:rFonts w:ascii="Arial" w:hAnsi="Arial" w:cs="Arial"/>
          <w:iCs/>
          <w:sz w:val="20"/>
          <w:szCs w:val="20"/>
        </w:rPr>
        <w:t>avnofinančni načrti</w:t>
      </w:r>
      <w:r w:rsidRPr="00D13496">
        <w:rPr>
          <w:rFonts w:ascii="Arial" w:hAnsi="Arial" w:cs="Arial"/>
          <w:iCs/>
          <w:sz w:val="20"/>
          <w:szCs w:val="20"/>
        </w:rPr>
        <w:t xml:space="preserve"> so namreč še vedno pripravljeni v</w:t>
      </w:r>
      <w:r w:rsidR="00EF2DD1" w:rsidRPr="00D13496">
        <w:rPr>
          <w:rFonts w:ascii="Arial" w:hAnsi="Arial" w:cs="Arial"/>
          <w:iCs/>
          <w:sz w:val="20"/>
          <w:szCs w:val="20"/>
        </w:rPr>
        <w:t xml:space="preserve"> negotovih makroekonomskih razmerah, ki izhajajo iz energetskih trgov, inflacije in globalne situacije. V </w:t>
      </w:r>
      <w:r w:rsidR="004D30AE" w:rsidRPr="00D13496">
        <w:rPr>
          <w:rFonts w:ascii="Arial" w:hAnsi="Arial" w:cs="Arial"/>
          <w:iCs/>
          <w:sz w:val="20"/>
          <w:szCs w:val="20"/>
        </w:rPr>
        <w:t>končni verziji P</w:t>
      </w:r>
      <w:r w:rsidR="00EF2DD1" w:rsidRPr="00D13496">
        <w:rPr>
          <w:rFonts w:ascii="Arial" w:hAnsi="Arial" w:cs="Arial"/>
          <w:iCs/>
          <w:sz w:val="20"/>
          <w:szCs w:val="20"/>
        </w:rPr>
        <w:t>rogram</w:t>
      </w:r>
      <w:r w:rsidR="004D30AE" w:rsidRPr="00D13496">
        <w:rPr>
          <w:rFonts w:ascii="Arial" w:hAnsi="Arial" w:cs="Arial"/>
          <w:iCs/>
          <w:sz w:val="20"/>
          <w:szCs w:val="20"/>
        </w:rPr>
        <w:t>a</w:t>
      </w:r>
      <w:r w:rsidR="00EF2DD1" w:rsidRPr="00D13496">
        <w:rPr>
          <w:rFonts w:ascii="Arial" w:hAnsi="Arial" w:cs="Arial"/>
          <w:iCs/>
          <w:sz w:val="20"/>
          <w:szCs w:val="20"/>
        </w:rPr>
        <w:t xml:space="preserve"> stabilnosti </w:t>
      </w:r>
      <w:r w:rsidR="004D30AE" w:rsidRPr="00D13496">
        <w:rPr>
          <w:rFonts w:ascii="Arial" w:hAnsi="Arial" w:cs="Arial"/>
          <w:iCs/>
          <w:sz w:val="20"/>
          <w:szCs w:val="20"/>
        </w:rPr>
        <w:t>bo</w:t>
      </w:r>
      <w:r w:rsidR="00EF2DD1" w:rsidRPr="00D13496">
        <w:rPr>
          <w:rFonts w:ascii="Arial" w:hAnsi="Arial" w:cs="Arial"/>
          <w:iCs/>
          <w:sz w:val="20"/>
          <w:szCs w:val="20"/>
        </w:rPr>
        <w:t xml:space="preserve"> tako vključena analiza občutljivosti javnega dolga. Prav tako </w:t>
      </w:r>
      <w:r w:rsidR="004D30AE" w:rsidRPr="00D13496">
        <w:rPr>
          <w:rFonts w:ascii="Arial" w:hAnsi="Arial" w:cs="Arial"/>
          <w:iCs/>
          <w:sz w:val="20"/>
          <w:szCs w:val="20"/>
        </w:rPr>
        <w:t>bo</w:t>
      </w:r>
      <w:r w:rsidR="00EF2DD1" w:rsidRPr="00D13496">
        <w:rPr>
          <w:rFonts w:ascii="Arial" w:hAnsi="Arial" w:cs="Arial"/>
          <w:iCs/>
          <w:sz w:val="20"/>
          <w:szCs w:val="20"/>
        </w:rPr>
        <w:t xml:space="preserve"> vključena</w:t>
      </w:r>
      <w:r w:rsidR="004D30AE" w:rsidRPr="00D13496">
        <w:rPr>
          <w:rFonts w:ascii="Arial" w:hAnsi="Arial" w:cs="Arial"/>
          <w:iCs/>
          <w:sz w:val="20"/>
          <w:szCs w:val="20"/>
        </w:rPr>
        <w:t xml:space="preserve"> tudi</w:t>
      </w:r>
      <w:r w:rsidR="00EF2DD1" w:rsidRPr="00D13496">
        <w:rPr>
          <w:rFonts w:ascii="Arial" w:hAnsi="Arial" w:cs="Arial"/>
          <w:iCs/>
          <w:sz w:val="20"/>
          <w:szCs w:val="20"/>
        </w:rPr>
        <w:t xml:space="preserve"> analiza občutljivosti javnofinančnih prihodkov glede na morebitno odstopanja rasti nominalnega BDP glede na osnovni sc</w:t>
      </w:r>
      <w:r w:rsidR="00BB49E4" w:rsidRPr="00D13496">
        <w:rPr>
          <w:rFonts w:ascii="Arial" w:hAnsi="Arial" w:cs="Arial"/>
          <w:iCs/>
          <w:sz w:val="20"/>
          <w:szCs w:val="20"/>
        </w:rPr>
        <w:t>enarij</w:t>
      </w:r>
      <w:r w:rsidR="00EF2DD1" w:rsidRPr="00D13496">
        <w:rPr>
          <w:rFonts w:ascii="Arial" w:hAnsi="Arial" w:cs="Arial"/>
          <w:iCs/>
          <w:sz w:val="20"/>
          <w:szCs w:val="20"/>
        </w:rPr>
        <w:t xml:space="preserve"> makroekonomske napoved</w:t>
      </w:r>
      <w:r w:rsidR="00BB49E4" w:rsidRPr="00D13496">
        <w:rPr>
          <w:rFonts w:ascii="Arial" w:hAnsi="Arial" w:cs="Arial"/>
          <w:iCs/>
          <w:sz w:val="20"/>
          <w:szCs w:val="20"/>
        </w:rPr>
        <w:t>i</w:t>
      </w:r>
      <w:r w:rsidR="00EF2DD1" w:rsidRPr="00D13496">
        <w:rPr>
          <w:rFonts w:ascii="Arial" w:hAnsi="Arial" w:cs="Arial"/>
          <w:iCs/>
          <w:sz w:val="20"/>
          <w:szCs w:val="20"/>
        </w:rPr>
        <w:t xml:space="preserve"> UMAR. </w:t>
      </w:r>
    </w:p>
    <w:p w14:paraId="53EC4F50" w14:textId="43664C18" w:rsidR="00EF2DD1" w:rsidRPr="00D13496" w:rsidRDefault="00EF2DD1" w:rsidP="008C6EF9">
      <w:pPr>
        <w:overflowPunct w:val="0"/>
        <w:autoSpaceDE w:val="0"/>
        <w:autoSpaceDN w:val="0"/>
        <w:adjustRightInd w:val="0"/>
        <w:spacing w:after="240" w:line="288" w:lineRule="auto"/>
        <w:jc w:val="both"/>
        <w:textAlignment w:val="baseline"/>
        <w:rPr>
          <w:rFonts w:ascii="Arial" w:hAnsi="Arial" w:cs="Arial"/>
          <w:i/>
          <w:sz w:val="20"/>
          <w:szCs w:val="20"/>
        </w:rPr>
      </w:pPr>
      <w:r w:rsidRPr="00D13496">
        <w:rPr>
          <w:rFonts w:ascii="Arial" w:hAnsi="Arial" w:cs="Arial"/>
          <w:i/>
          <w:sz w:val="20"/>
          <w:szCs w:val="20"/>
        </w:rPr>
        <w:t>Dolg sektorja država</w:t>
      </w:r>
    </w:p>
    <w:p w14:paraId="37618BA4" w14:textId="67803C7C" w:rsidR="00EF2DD1" w:rsidRPr="00D13496" w:rsidRDefault="00EF2DD1" w:rsidP="00EF2DD1">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t xml:space="preserve">Konsolidiran dolg sektorja država je konec leta 2022 znašal 41.244 </w:t>
      </w:r>
      <w:r w:rsidR="00AA18C0" w:rsidRPr="00D13496">
        <w:rPr>
          <w:rFonts w:ascii="Arial" w:hAnsi="Arial" w:cs="Arial"/>
          <w:iCs/>
          <w:sz w:val="20"/>
          <w:szCs w:val="20"/>
        </w:rPr>
        <w:t>mio</w:t>
      </w:r>
      <w:r w:rsidRPr="00D13496">
        <w:rPr>
          <w:rFonts w:ascii="Arial" w:hAnsi="Arial" w:cs="Arial"/>
          <w:iCs/>
          <w:sz w:val="20"/>
          <w:szCs w:val="20"/>
        </w:rPr>
        <w:t xml:space="preserve"> EUR oziroma 69,9 % BDP. V primerjavi s koncem leta 2020, ko je ta znašal 79,6 % BDP, se je znižal za 9,7 odstotne točke BDP. </w:t>
      </w:r>
    </w:p>
    <w:p w14:paraId="3436D9FC" w14:textId="3A668B2B" w:rsidR="00EF2DD1" w:rsidRPr="00D13496" w:rsidRDefault="00EF2DD1" w:rsidP="00EF2DD1">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lastRenderedPageBreak/>
        <w:t xml:space="preserve">V okviru osnovnega scenarija dinamike razvoja dolga sektorja države se načrtuje njegovo nadaljnje, sicer bolj postopno zniževanje na 63,5 % konec leta 2026. </w:t>
      </w:r>
      <w:r w:rsidR="00922ECC" w:rsidRPr="00D13496">
        <w:rPr>
          <w:rFonts w:ascii="Arial" w:hAnsi="Arial" w:cs="Arial"/>
          <w:iCs/>
          <w:sz w:val="20"/>
          <w:szCs w:val="20"/>
        </w:rPr>
        <w:t>Če</w:t>
      </w:r>
      <w:r w:rsidRPr="00D13496">
        <w:rPr>
          <w:rFonts w:ascii="Arial" w:hAnsi="Arial" w:cs="Arial"/>
          <w:iCs/>
          <w:sz w:val="20"/>
          <w:szCs w:val="20"/>
        </w:rPr>
        <w:t xml:space="preserve"> bi se v okviru analize občutljivosti dolga realizirale predpostavke neugodnega scenarija, bi dolg</w:t>
      </w:r>
      <w:r w:rsidR="00922ECC" w:rsidRPr="00D13496">
        <w:rPr>
          <w:rFonts w:ascii="Arial" w:hAnsi="Arial" w:cs="Arial"/>
          <w:iCs/>
          <w:sz w:val="20"/>
          <w:szCs w:val="20"/>
        </w:rPr>
        <w:t xml:space="preserve"> konec leta 2026</w:t>
      </w:r>
      <w:r w:rsidRPr="00D13496">
        <w:rPr>
          <w:rFonts w:ascii="Arial" w:hAnsi="Arial" w:cs="Arial"/>
          <w:iCs/>
          <w:sz w:val="20"/>
          <w:szCs w:val="20"/>
        </w:rPr>
        <w:t xml:space="preserve"> dosegel 79,2 % BDP, v primeru realizacije ugodnega scenarija pa 60,0 % BDP. Razvoj stanja dolga v razmerju do BDP bo srednjeročno glede na velikost učinka predvsem odvisen od realizirane nominalne rasti BDP, realiziranega primarnega salda in porabljenih likvidnih sredstev državnega proračuna za financiranje, postopno pa tudi od spremenjenih – višjih obrestnih mer.</w:t>
      </w:r>
    </w:p>
    <w:p w14:paraId="3755765C" w14:textId="4FB5E2C3" w:rsidR="00EF2DD1" w:rsidRPr="00D13496" w:rsidRDefault="00EF2DD1" w:rsidP="00EF2DD1">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t>Dolg državnega proračuna predstavlja 94 % dolga sektor</w:t>
      </w:r>
      <w:r w:rsidR="00922ECC" w:rsidRPr="00D13496">
        <w:rPr>
          <w:rFonts w:ascii="Arial" w:hAnsi="Arial" w:cs="Arial"/>
          <w:iCs/>
          <w:sz w:val="20"/>
          <w:szCs w:val="20"/>
        </w:rPr>
        <w:t>ja</w:t>
      </w:r>
      <w:r w:rsidRPr="00D13496">
        <w:rPr>
          <w:rFonts w:ascii="Arial" w:hAnsi="Arial" w:cs="Arial"/>
          <w:iCs/>
          <w:sz w:val="20"/>
          <w:szCs w:val="20"/>
        </w:rPr>
        <w:t xml:space="preserve"> država. Izpostavljenost dolga državnega proračuna z vidika variabilne obrestne mere je minimalna, saj znaša 0,7 % celotnega portfelja dolga. V strukturi dolga dolg s fiksno obrestno mero predstavlja 99,3 %. Največji delež dolga državnega proračuna ima preostalo ročnost 5-10 let (39,4%). V okolju nizkih obrestnih mer je Ministrstvo za finance izrazito izboljšalo metriko tveganj portfelja dolga. Cilj državne zakladnice je bil v razmerah nizkih/negativnih obrestnih mer povečati povprečno vezavo dolga ob hkratnem znižanju povprečne obrestne mere portfelja dolga. Povprečni čas vezave dolžniškega portfelja se je tako povečal na 10,3 let konec leta 2022 (leta 2014 je znašal 5,7 let) in prilagojeno trajanje na 8,6 let konec leta 2022 (leta 2014 je znašalo 4,7 let).</w:t>
      </w:r>
    </w:p>
    <w:p w14:paraId="64AA6AC8" w14:textId="74032EAA" w:rsidR="00EF2DD1" w:rsidRPr="00D13496" w:rsidRDefault="00EF2DD1" w:rsidP="00EF2DD1">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t>Ministrstvo za finance je poleg aktivnega upravljanja in prestrukturiranja dolga v daljše ročnosti z nižjo obrestno mero ustvarilo in razpolaga z ustrezno likvidnostno rezervo državnega proračuna, ki na dan 13.</w:t>
      </w:r>
      <w:r w:rsidR="000F605E" w:rsidRPr="00D13496">
        <w:rPr>
          <w:rFonts w:ascii="Arial" w:hAnsi="Arial" w:cs="Arial"/>
          <w:iCs/>
          <w:sz w:val="20"/>
          <w:szCs w:val="20"/>
        </w:rPr>
        <w:t xml:space="preserve"> </w:t>
      </w:r>
      <w:r w:rsidRPr="00D13496">
        <w:rPr>
          <w:rFonts w:ascii="Arial" w:hAnsi="Arial" w:cs="Arial"/>
          <w:iCs/>
          <w:sz w:val="20"/>
          <w:szCs w:val="20"/>
        </w:rPr>
        <w:t>4.</w:t>
      </w:r>
      <w:r w:rsidR="000F605E" w:rsidRPr="00D13496">
        <w:rPr>
          <w:rFonts w:ascii="Arial" w:hAnsi="Arial" w:cs="Arial"/>
          <w:iCs/>
          <w:sz w:val="20"/>
          <w:szCs w:val="20"/>
        </w:rPr>
        <w:t xml:space="preserve"> </w:t>
      </w:r>
      <w:r w:rsidRPr="00D13496">
        <w:rPr>
          <w:rFonts w:ascii="Arial" w:hAnsi="Arial" w:cs="Arial"/>
          <w:iCs/>
          <w:sz w:val="20"/>
          <w:szCs w:val="20"/>
        </w:rPr>
        <w:t xml:space="preserve">2023 znaša 4,4 </w:t>
      </w:r>
      <w:r w:rsidR="00AA18C0" w:rsidRPr="00D13496">
        <w:rPr>
          <w:rFonts w:ascii="Arial" w:hAnsi="Arial" w:cs="Arial"/>
          <w:iCs/>
          <w:sz w:val="20"/>
          <w:szCs w:val="20"/>
        </w:rPr>
        <w:t>mrd</w:t>
      </w:r>
      <w:r w:rsidRPr="00D13496">
        <w:rPr>
          <w:rFonts w:ascii="Arial" w:hAnsi="Arial" w:cs="Arial"/>
          <w:iCs/>
          <w:sz w:val="20"/>
          <w:szCs w:val="20"/>
        </w:rPr>
        <w:t xml:space="preserve"> EUR oziroma 6,8% ocenjenega BDP za leto 2023. Stanje enotnega zakladniškega računa države pa 7,7 </w:t>
      </w:r>
      <w:r w:rsidR="00AA18C0" w:rsidRPr="00D13496">
        <w:rPr>
          <w:rFonts w:ascii="Arial" w:hAnsi="Arial" w:cs="Arial"/>
          <w:iCs/>
          <w:sz w:val="20"/>
          <w:szCs w:val="20"/>
        </w:rPr>
        <w:t>mrd</w:t>
      </w:r>
      <w:r w:rsidRPr="00D13496">
        <w:rPr>
          <w:rFonts w:ascii="Arial" w:hAnsi="Arial" w:cs="Arial"/>
          <w:iCs/>
          <w:sz w:val="20"/>
          <w:szCs w:val="20"/>
        </w:rPr>
        <w:t xml:space="preserve"> EUR oziroma 11,9 % ocenjenega BDP za leto 2023. </w:t>
      </w:r>
    </w:p>
    <w:p w14:paraId="78CF5FCE" w14:textId="77777777" w:rsidR="00EF2DD1" w:rsidRPr="00D13496" w:rsidRDefault="00EF2DD1" w:rsidP="00EF2DD1">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t xml:space="preserve">Okoliščine, v katerih države in drugi izdajatelji izvajajo svoje programe financiranja, so se bistveno spremenile že leta 2022. Zahtevan donos na državne obveznice Slovenije se je zvišal predvsem zaradi zvišanja referenčne obrestne mere, ki je za RS eksogena in enaka za vse države. Na kreditni pribitek pa pomembno vplivajo ocene kreditnega tveganja oziroma bonitetne ocene bonitetnih družb, ki pa ostajajo visoke, in sicer za Slovenijo pri S&amp;P AA- (stabilni obeti), </w:t>
      </w:r>
      <w:proofErr w:type="spellStart"/>
      <w:r w:rsidRPr="00D13496">
        <w:rPr>
          <w:rFonts w:ascii="Arial" w:hAnsi="Arial" w:cs="Arial"/>
          <w:iCs/>
          <w:sz w:val="20"/>
          <w:szCs w:val="20"/>
        </w:rPr>
        <w:t>Fitch</w:t>
      </w:r>
      <w:proofErr w:type="spellEnd"/>
      <w:r w:rsidRPr="00D13496">
        <w:rPr>
          <w:rFonts w:ascii="Arial" w:hAnsi="Arial" w:cs="Arial"/>
          <w:iCs/>
          <w:sz w:val="20"/>
          <w:szCs w:val="20"/>
        </w:rPr>
        <w:t xml:space="preserve"> A (stabilni obeti), </w:t>
      </w:r>
      <w:proofErr w:type="spellStart"/>
      <w:r w:rsidRPr="00D13496">
        <w:rPr>
          <w:rFonts w:ascii="Arial" w:hAnsi="Arial" w:cs="Arial"/>
          <w:iCs/>
          <w:sz w:val="20"/>
          <w:szCs w:val="20"/>
        </w:rPr>
        <w:t>Moody's</w:t>
      </w:r>
      <w:proofErr w:type="spellEnd"/>
      <w:r w:rsidRPr="00D13496">
        <w:rPr>
          <w:rFonts w:ascii="Arial" w:hAnsi="Arial" w:cs="Arial"/>
          <w:iCs/>
          <w:sz w:val="20"/>
          <w:szCs w:val="20"/>
        </w:rPr>
        <w:t xml:space="preserve"> A3 (stabilni obeti) in DBRS AH (stabilni obeti).</w:t>
      </w:r>
    </w:p>
    <w:p w14:paraId="469B6A48" w14:textId="77777777" w:rsidR="00EF2DD1" w:rsidRPr="00D13496" w:rsidRDefault="00EF2DD1" w:rsidP="00EF2DD1">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t>Slovenija ima širok dostop do virov financiranja oziroma ustrezno razpršeno bazo investitorjev tako po vrsti investitorjev kot geografsko. V prihodnje bosta zelo pomembni strategija izvajanja financiranja v srednjeročnem obdobju in likvidnost na sekundarnem trgu slovenskih državnih obveznic. Potrebno bo vzdrževati ravnotežje med ponudbo in povpraševanjem po slovenskih obveznicah, kjer bo podpora sekundarnemu trgu še naprej osrednjega pomena, predvsem pa bo pomembna diverzifikacija oziroma širitev investitorskega zaledja v geografskem smislu, po vrsti investitorja kot tudi po instrumentih financiranja.</w:t>
      </w:r>
    </w:p>
    <w:p w14:paraId="46820E68" w14:textId="598A95EB" w:rsidR="00EF2DD1" w:rsidRPr="00D13496" w:rsidRDefault="00BE1C6C" w:rsidP="008C6EF9">
      <w:pPr>
        <w:overflowPunct w:val="0"/>
        <w:autoSpaceDE w:val="0"/>
        <w:autoSpaceDN w:val="0"/>
        <w:adjustRightInd w:val="0"/>
        <w:spacing w:after="240" w:line="288" w:lineRule="auto"/>
        <w:jc w:val="both"/>
        <w:textAlignment w:val="baseline"/>
        <w:rPr>
          <w:rFonts w:ascii="Arial" w:hAnsi="Arial" w:cs="Arial"/>
          <w:i/>
          <w:sz w:val="20"/>
          <w:szCs w:val="20"/>
        </w:rPr>
      </w:pPr>
      <w:r w:rsidRPr="00D13496">
        <w:rPr>
          <w:rFonts w:ascii="Arial" w:hAnsi="Arial" w:cs="Arial"/>
          <w:i/>
          <w:sz w:val="20"/>
          <w:szCs w:val="20"/>
        </w:rPr>
        <w:t>Načrtovanje javnofinančnih prihodkov in izdatkov</w:t>
      </w:r>
    </w:p>
    <w:p w14:paraId="5A55C158" w14:textId="2744D673" w:rsidR="00457EAD" w:rsidRPr="00D13496" w:rsidRDefault="00457EAD" w:rsidP="00457EAD">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t xml:space="preserve">Vlada pri javnofinančnem načrtovanju upošteva načelo previdnosti, kot ugotavlja tudi Fiskalni svet. To je skladno s 4. členom </w:t>
      </w:r>
      <w:proofErr w:type="spellStart"/>
      <w:r w:rsidR="001604C1" w:rsidRPr="00D13496">
        <w:rPr>
          <w:rFonts w:ascii="Arial" w:hAnsi="Arial" w:cs="Arial"/>
          <w:iCs/>
          <w:sz w:val="20"/>
          <w:szCs w:val="20"/>
        </w:rPr>
        <w:t>ZFisP</w:t>
      </w:r>
      <w:proofErr w:type="spellEnd"/>
      <w:r w:rsidRPr="00D13496">
        <w:rPr>
          <w:rFonts w:ascii="Arial" w:hAnsi="Arial" w:cs="Arial"/>
          <w:iCs/>
          <w:sz w:val="20"/>
          <w:szCs w:val="20"/>
        </w:rPr>
        <w:t>. Fiskalni svet</w:t>
      </w:r>
      <w:r w:rsidR="00146133" w:rsidRPr="00D13496">
        <w:rPr>
          <w:rFonts w:ascii="Arial" w:hAnsi="Arial" w:cs="Arial"/>
          <w:iCs/>
          <w:sz w:val="20"/>
          <w:szCs w:val="20"/>
        </w:rPr>
        <w:t xml:space="preserve"> vseeno</w:t>
      </w:r>
      <w:r w:rsidRPr="00D13496">
        <w:rPr>
          <w:rFonts w:ascii="Arial" w:hAnsi="Arial" w:cs="Arial"/>
          <w:iCs/>
          <w:sz w:val="20"/>
          <w:szCs w:val="20"/>
        </w:rPr>
        <w:t xml:space="preserve"> ugotavlja, da </w:t>
      </w:r>
      <w:r w:rsidR="00146133" w:rsidRPr="00D13496">
        <w:rPr>
          <w:rFonts w:ascii="Arial" w:hAnsi="Arial" w:cs="Arial"/>
          <w:iCs/>
          <w:sz w:val="20"/>
          <w:szCs w:val="20"/>
        </w:rPr>
        <w:t xml:space="preserve">lahko </w:t>
      </w:r>
      <w:r w:rsidRPr="00D13496">
        <w:rPr>
          <w:rFonts w:ascii="Arial" w:hAnsi="Arial" w:cs="Arial"/>
          <w:iCs/>
          <w:sz w:val="20"/>
          <w:szCs w:val="20"/>
        </w:rPr>
        <w:t xml:space="preserve">dodatno tveganje pri tokratni oceni podatkov napovedi sektorja država predstavlja dejstvo, da so trenutne javnofinančne projekcije lahko neusklajene zaradi priprave rebalansa državnega proračuna za leto 2023, ki bo razpoložljiv šele po </w:t>
      </w:r>
      <w:r w:rsidR="00611590" w:rsidRPr="00D13496">
        <w:rPr>
          <w:rFonts w:ascii="Arial" w:hAnsi="Arial" w:cs="Arial"/>
          <w:iCs/>
          <w:sz w:val="20"/>
          <w:szCs w:val="20"/>
        </w:rPr>
        <w:t>objavi Ocene Fiskalnega sveta</w:t>
      </w:r>
      <w:r w:rsidRPr="00D13496">
        <w:rPr>
          <w:rFonts w:ascii="Arial" w:hAnsi="Arial" w:cs="Arial"/>
          <w:iCs/>
          <w:sz w:val="20"/>
          <w:szCs w:val="20"/>
        </w:rPr>
        <w:t>. Vlada pojasnjuje, da ocene prihodkov in izdatkov sektorja država</w:t>
      </w:r>
      <w:r w:rsidR="00922ECC" w:rsidRPr="00D13496">
        <w:rPr>
          <w:rFonts w:ascii="Arial" w:hAnsi="Arial" w:cs="Arial"/>
          <w:iCs/>
          <w:sz w:val="20"/>
          <w:szCs w:val="20"/>
        </w:rPr>
        <w:t>,</w:t>
      </w:r>
      <w:r w:rsidRPr="00D13496">
        <w:rPr>
          <w:rFonts w:ascii="Arial" w:hAnsi="Arial" w:cs="Arial"/>
          <w:iCs/>
          <w:sz w:val="20"/>
          <w:szCs w:val="20"/>
        </w:rPr>
        <w:t xml:space="preserve"> vključene v Program stabilnosti 2023</w:t>
      </w:r>
      <w:r w:rsidR="00922ECC" w:rsidRPr="00D13496">
        <w:rPr>
          <w:rFonts w:ascii="Arial" w:hAnsi="Arial" w:cs="Arial"/>
          <w:iCs/>
          <w:sz w:val="20"/>
          <w:szCs w:val="20"/>
        </w:rPr>
        <w:t>,</w:t>
      </w:r>
      <w:r w:rsidRPr="00D13496">
        <w:rPr>
          <w:rFonts w:ascii="Arial" w:hAnsi="Arial" w:cs="Arial"/>
          <w:iCs/>
          <w:sz w:val="20"/>
          <w:szCs w:val="20"/>
        </w:rPr>
        <w:t xml:space="preserve"> v največji meri vključujejo podatke rebalansa državnega proračuna za leto 2023, morebitna odstopanja pa se lahko </w:t>
      </w:r>
      <w:r w:rsidR="00922ECC" w:rsidRPr="00D13496">
        <w:rPr>
          <w:rFonts w:ascii="Arial" w:hAnsi="Arial" w:cs="Arial"/>
          <w:iCs/>
          <w:sz w:val="20"/>
          <w:szCs w:val="20"/>
        </w:rPr>
        <w:t>pojavijo</w:t>
      </w:r>
      <w:r w:rsidRPr="00D13496">
        <w:rPr>
          <w:rFonts w:ascii="Arial" w:hAnsi="Arial" w:cs="Arial"/>
          <w:iCs/>
          <w:sz w:val="20"/>
          <w:szCs w:val="20"/>
        </w:rPr>
        <w:t xml:space="preserve"> le na posameznih kategorijah ekonomske klasifikacije državnega proračuna in ne na globalnih ravneh prihodkov in odhodkov.</w:t>
      </w:r>
    </w:p>
    <w:p w14:paraId="34A643D2" w14:textId="1E1AB50E" w:rsidR="00BE1C6C" w:rsidRPr="00D13496" w:rsidRDefault="00457EAD" w:rsidP="00457EAD">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t xml:space="preserve">Fiskalni svet v svojem mnenju navaja, da so rekordno visoke investicijske projekcije sektorja država nerealistične tako zaradi preveč optimističnih predpostavk porabe evropskih sredstev kot omejene </w:t>
      </w:r>
      <w:r w:rsidRPr="00D13496">
        <w:rPr>
          <w:rFonts w:ascii="Arial" w:hAnsi="Arial" w:cs="Arial"/>
          <w:iCs/>
          <w:sz w:val="20"/>
          <w:szCs w:val="20"/>
        </w:rPr>
        <w:lastRenderedPageBreak/>
        <w:t>absorpcijske sposobnosti administracije in gospodarstva. Vlada poudarja, da so pri pripravi projekcij sektorja država upoštevane tako investicije neposrednih proračunskih uporabnikov</w:t>
      </w:r>
      <w:r w:rsidR="00922ECC" w:rsidRPr="00D13496">
        <w:rPr>
          <w:rFonts w:ascii="Arial" w:hAnsi="Arial" w:cs="Arial"/>
          <w:iCs/>
          <w:sz w:val="20"/>
          <w:szCs w:val="20"/>
        </w:rPr>
        <w:t>,</w:t>
      </w:r>
      <w:r w:rsidRPr="00D13496">
        <w:rPr>
          <w:rFonts w:ascii="Arial" w:hAnsi="Arial" w:cs="Arial"/>
          <w:iCs/>
          <w:sz w:val="20"/>
          <w:szCs w:val="20"/>
        </w:rPr>
        <w:t xml:space="preserve"> </w:t>
      </w:r>
      <w:r w:rsidR="00922ECC" w:rsidRPr="00D13496">
        <w:rPr>
          <w:rFonts w:ascii="Arial" w:hAnsi="Arial" w:cs="Arial"/>
          <w:iCs/>
          <w:sz w:val="20"/>
          <w:szCs w:val="20"/>
        </w:rPr>
        <w:t>vključenih</w:t>
      </w:r>
      <w:r w:rsidRPr="00D13496">
        <w:rPr>
          <w:rFonts w:ascii="Arial" w:hAnsi="Arial" w:cs="Arial"/>
          <w:iCs/>
          <w:sz w:val="20"/>
          <w:szCs w:val="20"/>
        </w:rPr>
        <w:t xml:space="preserve"> v državnem proračunu</w:t>
      </w:r>
      <w:r w:rsidR="00922ECC" w:rsidRPr="00D13496">
        <w:rPr>
          <w:rFonts w:ascii="Arial" w:hAnsi="Arial" w:cs="Arial"/>
          <w:iCs/>
          <w:sz w:val="20"/>
          <w:szCs w:val="20"/>
        </w:rPr>
        <w:t>,</w:t>
      </w:r>
      <w:r w:rsidRPr="00D13496">
        <w:rPr>
          <w:rFonts w:ascii="Arial" w:hAnsi="Arial" w:cs="Arial"/>
          <w:iCs/>
          <w:sz w:val="20"/>
          <w:szCs w:val="20"/>
        </w:rPr>
        <w:t xml:space="preserve"> kot tudi investicije občin, pomemben delež pa prispevajo tudi ostale enote sektorja država. V obdobju 2023-2026 ta delež znaša preko 30 % vseh izdatkov za investicije, nanaša pa se na investicije javnih zavodov in javnih skladov ter gospodarskih družb, predvsem s področja železniške infrastrukture. Nezanemarljiv del k izdatkom za investicije prispevajo tudi izdatki proračunskih skladov.</w:t>
      </w:r>
    </w:p>
    <w:p w14:paraId="7D8D2090" w14:textId="4D72494C" w:rsidR="00146133" w:rsidRPr="00D13496" w:rsidRDefault="00146133" w:rsidP="00146133">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t xml:space="preserve">Glede optimističnosti predpostavk </w:t>
      </w:r>
      <w:r w:rsidR="006E1C96" w:rsidRPr="00D13496">
        <w:rPr>
          <w:rFonts w:ascii="Arial" w:hAnsi="Arial" w:cs="Arial"/>
          <w:iCs/>
          <w:sz w:val="20"/>
          <w:szCs w:val="20"/>
        </w:rPr>
        <w:t xml:space="preserve">o </w:t>
      </w:r>
      <w:r w:rsidRPr="00D13496">
        <w:rPr>
          <w:rFonts w:ascii="Arial" w:hAnsi="Arial" w:cs="Arial"/>
          <w:iCs/>
          <w:sz w:val="20"/>
          <w:szCs w:val="20"/>
        </w:rPr>
        <w:t>porab</w:t>
      </w:r>
      <w:r w:rsidR="006E1C96" w:rsidRPr="00D13496">
        <w:rPr>
          <w:rFonts w:ascii="Arial" w:hAnsi="Arial" w:cs="Arial"/>
          <w:iCs/>
          <w:sz w:val="20"/>
          <w:szCs w:val="20"/>
        </w:rPr>
        <w:t>i</w:t>
      </w:r>
      <w:r w:rsidRPr="00D13496">
        <w:rPr>
          <w:rFonts w:ascii="Arial" w:hAnsi="Arial" w:cs="Arial"/>
          <w:iCs/>
          <w:sz w:val="20"/>
          <w:szCs w:val="20"/>
        </w:rPr>
        <w:t xml:space="preserve"> evropskih sredstev vlada pojasnjuje, da ima Slovenija</w:t>
      </w:r>
      <w:r w:rsidR="00922ECC" w:rsidRPr="00D13496">
        <w:rPr>
          <w:rFonts w:ascii="Arial" w:hAnsi="Arial" w:cs="Arial"/>
          <w:iCs/>
          <w:sz w:val="20"/>
          <w:szCs w:val="20"/>
        </w:rPr>
        <w:t xml:space="preserve"> v</w:t>
      </w:r>
      <w:r w:rsidRPr="00D13496">
        <w:rPr>
          <w:rFonts w:ascii="Arial" w:hAnsi="Arial" w:cs="Arial"/>
          <w:iCs/>
          <w:sz w:val="20"/>
          <w:szCs w:val="20"/>
        </w:rPr>
        <w:t xml:space="preserve"> iztekajočem se programskem obdobju 2014-2020 na voljo 3</w:t>
      </w:r>
      <w:r w:rsidR="00611590" w:rsidRPr="00D13496">
        <w:rPr>
          <w:rFonts w:ascii="Arial" w:hAnsi="Arial" w:cs="Arial"/>
          <w:iCs/>
          <w:sz w:val="20"/>
          <w:szCs w:val="20"/>
        </w:rPr>
        <w:t>,</w:t>
      </w:r>
      <w:r w:rsidRPr="00D13496">
        <w:rPr>
          <w:rFonts w:ascii="Arial" w:hAnsi="Arial" w:cs="Arial"/>
          <w:iCs/>
          <w:sz w:val="20"/>
          <w:szCs w:val="20"/>
        </w:rPr>
        <w:t>3 mrd EUR kohezijskih sredstev, od tega smo jih porabili že 2,9 mrd EUR, torej nas do polnega črpanja loči še dobrih 400 mio EUR.</w:t>
      </w:r>
      <w:r w:rsidR="00EA2168" w:rsidRPr="00D13496">
        <w:rPr>
          <w:rFonts w:ascii="Arial" w:hAnsi="Arial" w:cs="Arial"/>
          <w:iCs/>
          <w:sz w:val="20"/>
          <w:szCs w:val="20"/>
        </w:rPr>
        <w:t xml:space="preserve"> V</w:t>
      </w:r>
      <w:r w:rsidRPr="00D13496">
        <w:rPr>
          <w:rFonts w:ascii="Arial" w:hAnsi="Arial" w:cs="Arial"/>
          <w:iCs/>
          <w:sz w:val="20"/>
          <w:szCs w:val="20"/>
        </w:rPr>
        <w:t xml:space="preserve"> ta namen smo za leto 2023 v državnem proračunu rezervirali sredstva v višini 770 mio EUR, kar vključuje tudi znesek presežnih pravic porabe, ki so namenjene financiranju </w:t>
      </w:r>
      <w:proofErr w:type="spellStart"/>
      <w:r w:rsidRPr="00D13496">
        <w:rPr>
          <w:rFonts w:ascii="Arial" w:hAnsi="Arial" w:cs="Arial"/>
          <w:iCs/>
          <w:sz w:val="20"/>
          <w:szCs w:val="20"/>
        </w:rPr>
        <w:t>t.i</w:t>
      </w:r>
      <w:proofErr w:type="spellEnd"/>
      <w:r w:rsidRPr="00D13496">
        <w:rPr>
          <w:rFonts w:ascii="Arial" w:hAnsi="Arial" w:cs="Arial"/>
          <w:iCs/>
          <w:sz w:val="20"/>
          <w:szCs w:val="20"/>
        </w:rPr>
        <w:t xml:space="preserve">. rezervnih projektov, s pomočjo katerih bomo dosegli 100 % črpanje sredstev, saj morda nekateri veliki projekti ne bodo zaključeni pravočasno in bo njihovo financiranje delno preneseno v naslednje programsko obdobje. Poleg tega se zaradi načrtovanih presežnih pravic porabe zagotavlja hitrejše zaključevanje programskega obdobja. Ob tem dodajamo, da smo tudi v prejšnjem programskem obdobju 2007-2013 zaradi dodatnih pravic porabe </w:t>
      </w:r>
      <w:proofErr w:type="spellStart"/>
      <w:r w:rsidRPr="00D13496">
        <w:rPr>
          <w:rFonts w:ascii="Arial" w:hAnsi="Arial" w:cs="Arial"/>
          <w:iCs/>
          <w:sz w:val="20"/>
          <w:szCs w:val="20"/>
        </w:rPr>
        <w:t>počrpali</w:t>
      </w:r>
      <w:proofErr w:type="spellEnd"/>
      <w:r w:rsidRPr="00D13496">
        <w:rPr>
          <w:rFonts w:ascii="Arial" w:hAnsi="Arial" w:cs="Arial"/>
          <w:iCs/>
          <w:sz w:val="20"/>
          <w:szCs w:val="20"/>
        </w:rPr>
        <w:t xml:space="preserve"> vsa razpoložljiva </w:t>
      </w:r>
      <w:r w:rsidR="00922ECC" w:rsidRPr="00D13496">
        <w:rPr>
          <w:rFonts w:ascii="Arial" w:hAnsi="Arial" w:cs="Arial"/>
          <w:iCs/>
          <w:sz w:val="20"/>
          <w:szCs w:val="20"/>
        </w:rPr>
        <w:t xml:space="preserve">EU </w:t>
      </w:r>
      <w:r w:rsidRPr="00D13496">
        <w:rPr>
          <w:rFonts w:ascii="Arial" w:hAnsi="Arial" w:cs="Arial"/>
          <w:iCs/>
          <w:sz w:val="20"/>
          <w:szCs w:val="20"/>
        </w:rPr>
        <w:t xml:space="preserve">sredstva. </w:t>
      </w:r>
    </w:p>
    <w:p w14:paraId="3DD44C18" w14:textId="3B7E22B5" w:rsidR="00146133" w:rsidRPr="00D13496" w:rsidRDefault="00146133" w:rsidP="00146133">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t>V lanskem letu je bila poraba sredstev evropske kohezijske politike za 138 mio EUR nižja</w:t>
      </w:r>
      <w:r w:rsidR="00922ECC" w:rsidRPr="00D13496">
        <w:rPr>
          <w:rFonts w:ascii="Arial" w:hAnsi="Arial" w:cs="Arial"/>
          <w:iCs/>
          <w:sz w:val="20"/>
          <w:szCs w:val="20"/>
        </w:rPr>
        <w:t xml:space="preserve"> od</w:t>
      </w:r>
      <w:r w:rsidRPr="00D13496">
        <w:rPr>
          <w:rFonts w:ascii="Arial" w:hAnsi="Arial" w:cs="Arial"/>
          <w:iCs/>
          <w:sz w:val="20"/>
          <w:szCs w:val="20"/>
        </w:rPr>
        <w:t xml:space="preserve"> načrtovan</w:t>
      </w:r>
      <w:r w:rsidR="00922ECC" w:rsidRPr="00D13496">
        <w:rPr>
          <w:rFonts w:ascii="Arial" w:hAnsi="Arial" w:cs="Arial"/>
          <w:iCs/>
          <w:sz w:val="20"/>
          <w:szCs w:val="20"/>
        </w:rPr>
        <w:t>e</w:t>
      </w:r>
      <w:r w:rsidRPr="00D13496">
        <w:rPr>
          <w:rFonts w:ascii="Arial" w:hAnsi="Arial" w:cs="Arial"/>
          <w:iCs/>
          <w:sz w:val="20"/>
          <w:szCs w:val="20"/>
        </w:rPr>
        <w:t>. Z letošnjim letom se to programsko obdobje zaključuje</w:t>
      </w:r>
      <w:r w:rsidR="00922ECC" w:rsidRPr="00D13496">
        <w:rPr>
          <w:rFonts w:ascii="Arial" w:hAnsi="Arial" w:cs="Arial"/>
          <w:iCs/>
          <w:sz w:val="20"/>
          <w:szCs w:val="20"/>
        </w:rPr>
        <w:t>,</w:t>
      </w:r>
      <w:r w:rsidRPr="00D13496">
        <w:rPr>
          <w:rFonts w:ascii="Arial" w:hAnsi="Arial" w:cs="Arial"/>
          <w:iCs/>
          <w:sz w:val="20"/>
          <w:szCs w:val="20"/>
        </w:rPr>
        <w:t xml:space="preserve"> kar pomeni, da morajo biti vsi projekti zaključeni do konca leta.</w:t>
      </w:r>
    </w:p>
    <w:p w14:paraId="37BE9FE9" w14:textId="2192F9D1" w:rsidR="003A1395" w:rsidRPr="00D13496" w:rsidRDefault="003A1395" w:rsidP="00295311">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t xml:space="preserve">V zvezi </w:t>
      </w:r>
      <w:r w:rsidR="00922ECC" w:rsidRPr="00D13496">
        <w:rPr>
          <w:rFonts w:ascii="Arial" w:hAnsi="Arial" w:cs="Arial"/>
          <w:iCs/>
          <w:sz w:val="20"/>
          <w:szCs w:val="20"/>
        </w:rPr>
        <w:t>s</w:t>
      </w:r>
      <w:r w:rsidRPr="00D13496">
        <w:rPr>
          <w:rFonts w:ascii="Arial" w:hAnsi="Arial" w:cs="Arial"/>
          <w:iCs/>
          <w:sz w:val="20"/>
          <w:szCs w:val="20"/>
        </w:rPr>
        <w:t xml:space="preserve"> črpanjem sredstev Načrta za okrevanje in odpornost (v nadaljnjem besedilu: NOO) vlada pojasnjuje, da bo drugi zahtevek Evropski komisiji posredovan predvidoma v drugi polovici leta 2023. Sestava zahtevka bo odvisna od doseganja mejnikov/ciljev na 2. in 3. obroku za nepovratna sredstva ter na 1. obroku za posojila. Ti obroki vsebujejo tudi mejnike in cilje, povezane z reformami (dolgotrajna oskrba, obnovljivi viri energije, energetska učinkovitost)</w:t>
      </w:r>
      <w:r w:rsidR="00295311" w:rsidRPr="00D13496">
        <w:rPr>
          <w:rFonts w:ascii="Arial" w:hAnsi="Arial" w:cs="Arial"/>
          <w:iCs/>
          <w:sz w:val="20"/>
          <w:szCs w:val="20"/>
        </w:rPr>
        <w:t xml:space="preserve">. </w:t>
      </w:r>
      <w:r w:rsidRPr="00D13496">
        <w:rPr>
          <w:rFonts w:ascii="Arial" w:hAnsi="Arial" w:cs="Arial"/>
          <w:iCs/>
          <w:sz w:val="20"/>
          <w:szCs w:val="20"/>
        </w:rPr>
        <w:t xml:space="preserve">Na splošno se Slovenija tako kot tudi druge države članice sooča z izzivi pri izvajanju NOO. Ni pa med državami članicami, ki imajo največje težave. Vlada si prizadeva pospešiti doseganje mejnikov in ciljev ter s tem pošiljanje zahtevkov za plačilo. Vlada se redno informira o stanju na mejnikih in ciljih. </w:t>
      </w:r>
      <w:r w:rsidR="00DC5AC0" w:rsidRPr="00D13496">
        <w:rPr>
          <w:rFonts w:ascii="Arial" w:hAnsi="Arial" w:cs="Arial"/>
          <w:iCs/>
          <w:sz w:val="20"/>
          <w:szCs w:val="20"/>
        </w:rPr>
        <w:t>Ministrstvo za finance</w:t>
      </w:r>
      <w:r w:rsidRPr="00D13496">
        <w:rPr>
          <w:rFonts w:ascii="Arial" w:hAnsi="Arial" w:cs="Arial"/>
          <w:iCs/>
          <w:sz w:val="20"/>
          <w:szCs w:val="20"/>
        </w:rPr>
        <w:t xml:space="preserve"> enkrat na mesec na seji vlade predstavlja aktualno stanje. </w:t>
      </w:r>
    </w:p>
    <w:p w14:paraId="2C35CFC2" w14:textId="562442E3" w:rsidR="00295311" w:rsidRPr="00D13496" w:rsidRDefault="003A1395" w:rsidP="00295311">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t xml:space="preserve">Vlada je 16. 3. 2023 sprejela izhodišča za prilagoditev NOO, s katerimi bo naslovila predvsem nižjo alokacijo nepovratnih sredstev in cilje načrta </w:t>
      </w:r>
      <w:proofErr w:type="spellStart"/>
      <w:r w:rsidRPr="00D13496">
        <w:rPr>
          <w:rFonts w:ascii="Arial" w:hAnsi="Arial" w:cs="Arial"/>
          <w:iCs/>
          <w:sz w:val="20"/>
          <w:szCs w:val="20"/>
        </w:rPr>
        <w:t>REPowerEU</w:t>
      </w:r>
      <w:proofErr w:type="spellEnd"/>
      <w:r w:rsidRPr="00D13496">
        <w:rPr>
          <w:rFonts w:ascii="Arial" w:hAnsi="Arial" w:cs="Arial"/>
          <w:iCs/>
          <w:sz w:val="20"/>
          <w:szCs w:val="20"/>
        </w:rPr>
        <w:t xml:space="preserve">. NOO bo do določene mere prilagojen tudi zaradi vpliva objektivnih okoliščin in drugih tehničnih neskladij. Identificirane vsebine bo vlada uskladila z </w:t>
      </w:r>
      <w:r w:rsidR="00DC5AC0" w:rsidRPr="00D13496">
        <w:rPr>
          <w:rFonts w:ascii="Arial" w:hAnsi="Arial" w:cs="Arial"/>
          <w:iCs/>
          <w:sz w:val="20"/>
          <w:szCs w:val="20"/>
        </w:rPr>
        <w:t>Evropsko komisijo</w:t>
      </w:r>
      <w:r w:rsidRPr="00D13496">
        <w:rPr>
          <w:rFonts w:ascii="Arial" w:hAnsi="Arial" w:cs="Arial"/>
          <w:iCs/>
          <w:sz w:val="20"/>
          <w:szCs w:val="20"/>
        </w:rPr>
        <w:t xml:space="preserve"> in drugimi deležniki. Na podlagi usklajevanj bo pripravila predlog prilagoditve NOO in ga posredovala v formalno potrditev v Bruselj.</w:t>
      </w:r>
      <w:r w:rsidR="00295311" w:rsidRPr="00D13496">
        <w:rPr>
          <w:rFonts w:ascii="Arial" w:hAnsi="Arial" w:cs="Arial"/>
          <w:iCs/>
          <w:sz w:val="20"/>
          <w:szCs w:val="20"/>
        </w:rPr>
        <w:t xml:space="preserve"> Nekatera tveganja na mejnikih in ciljih bo vlada skušala nasloviti tudi s prilagoditvijo NOO. </w:t>
      </w:r>
    </w:p>
    <w:p w14:paraId="6B62E8F6" w14:textId="7B45B092" w:rsidR="00146133" w:rsidRPr="00D13496" w:rsidRDefault="00146133" w:rsidP="00146133">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t>Fiskalni svet v oceni izpostavi tudi</w:t>
      </w:r>
      <w:r w:rsidR="00874C98" w:rsidRPr="00D13496">
        <w:rPr>
          <w:rFonts w:ascii="Arial" w:hAnsi="Arial" w:cs="Arial"/>
          <w:iCs/>
          <w:sz w:val="20"/>
          <w:szCs w:val="20"/>
        </w:rPr>
        <w:t xml:space="preserve"> sistematično</w:t>
      </w:r>
      <w:r w:rsidRPr="00D13496">
        <w:rPr>
          <w:rFonts w:ascii="Arial" w:hAnsi="Arial" w:cs="Arial"/>
          <w:iCs/>
          <w:sz w:val="20"/>
          <w:szCs w:val="20"/>
        </w:rPr>
        <w:t xml:space="preserve"> </w:t>
      </w:r>
      <w:r w:rsidR="00874C98" w:rsidRPr="00D13496">
        <w:rPr>
          <w:rFonts w:ascii="Arial" w:hAnsi="Arial" w:cs="Arial"/>
          <w:iCs/>
          <w:sz w:val="20"/>
          <w:szCs w:val="20"/>
        </w:rPr>
        <w:t>prenizko</w:t>
      </w:r>
      <w:r w:rsidRPr="00D13496">
        <w:rPr>
          <w:rFonts w:ascii="Arial" w:hAnsi="Arial" w:cs="Arial"/>
          <w:iCs/>
          <w:sz w:val="20"/>
          <w:szCs w:val="20"/>
        </w:rPr>
        <w:t xml:space="preserve"> načrtovanje </w:t>
      </w:r>
      <w:r w:rsidR="00874C98" w:rsidRPr="00D13496">
        <w:rPr>
          <w:rFonts w:ascii="Arial" w:hAnsi="Arial" w:cs="Arial"/>
          <w:iCs/>
          <w:sz w:val="20"/>
          <w:szCs w:val="20"/>
        </w:rPr>
        <w:t xml:space="preserve">izdatkov za </w:t>
      </w:r>
      <w:r w:rsidRPr="00D13496">
        <w:rPr>
          <w:rFonts w:ascii="Arial" w:hAnsi="Arial" w:cs="Arial"/>
          <w:iCs/>
          <w:sz w:val="20"/>
          <w:szCs w:val="20"/>
        </w:rPr>
        <w:t>socialn</w:t>
      </w:r>
      <w:r w:rsidR="00874C98" w:rsidRPr="00D13496">
        <w:rPr>
          <w:rFonts w:ascii="Arial" w:hAnsi="Arial" w:cs="Arial"/>
          <w:iCs/>
          <w:sz w:val="20"/>
          <w:szCs w:val="20"/>
        </w:rPr>
        <w:t>a</w:t>
      </w:r>
      <w:r w:rsidRPr="00D13496">
        <w:rPr>
          <w:rFonts w:ascii="Arial" w:hAnsi="Arial" w:cs="Arial"/>
          <w:iCs/>
          <w:sz w:val="20"/>
          <w:szCs w:val="20"/>
        </w:rPr>
        <w:t xml:space="preserve"> </w:t>
      </w:r>
      <w:r w:rsidR="00874C98" w:rsidRPr="00D13496">
        <w:rPr>
          <w:rFonts w:ascii="Arial" w:hAnsi="Arial" w:cs="Arial"/>
          <w:iCs/>
          <w:sz w:val="20"/>
          <w:szCs w:val="20"/>
        </w:rPr>
        <w:t>nadomestila</w:t>
      </w:r>
      <w:r w:rsidRPr="00D13496">
        <w:rPr>
          <w:rFonts w:ascii="Arial" w:hAnsi="Arial" w:cs="Arial"/>
          <w:iCs/>
          <w:sz w:val="20"/>
          <w:szCs w:val="20"/>
        </w:rPr>
        <w:t xml:space="preserve">. V zvezi s tem je treba pojasniti, da pri izdelavi projekcij o gibanju socialnih nadomestil izhajamo, med drugim, </w:t>
      </w:r>
      <w:r w:rsidR="00922ECC" w:rsidRPr="00D13496">
        <w:rPr>
          <w:rFonts w:ascii="Arial" w:hAnsi="Arial" w:cs="Arial"/>
          <w:iCs/>
          <w:sz w:val="20"/>
          <w:szCs w:val="20"/>
        </w:rPr>
        <w:t>iz</w:t>
      </w:r>
      <w:r w:rsidRPr="00D13496">
        <w:rPr>
          <w:rFonts w:ascii="Arial" w:hAnsi="Arial" w:cs="Arial"/>
          <w:iCs/>
          <w:sz w:val="20"/>
          <w:szCs w:val="20"/>
        </w:rPr>
        <w:t xml:space="preserve"> predpostavk veljavne zakonodaje v trenutku izdelave projekcij. Tekom izvrševanja proračuna pa prihaja do uveljavitve nove ali sprememb in dopolnitev obstoječe zakonodaje na področju socialnega varstva, ki ima običajno finančne posledice za državni proračun. Pristojni resor sicer poskuša dodatna potrebna sredstva zagotoviti znotraj svojega finančnega načrta s prerazporeditvami iz drugih namenov, kjer ocenjujejo manjšo ali počasnejšo porabo proračunskih sredstev. Kot drugi razlog za odstopanja v načrtovanju in izvrševanju proračuna v segmentu socialnih nadomestil poudarjamo, da so </w:t>
      </w:r>
      <w:r w:rsidR="00922ECC" w:rsidRPr="00D13496">
        <w:rPr>
          <w:rFonts w:ascii="Arial" w:hAnsi="Arial" w:cs="Arial"/>
          <w:iCs/>
          <w:sz w:val="20"/>
          <w:szCs w:val="20"/>
        </w:rPr>
        <w:t>razmere</w:t>
      </w:r>
      <w:r w:rsidRPr="00D13496">
        <w:rPr>
          <w:rFonts w:ascii="Arial" w:hAnsi="Arial" w:cs="Arial"/>
          <w:iCs/>
          <w:sz w:val="20"/>
          <w:szCs w:val="20"/>
        </w:rPr>
        <w:t xml:space="preserve"> od leta 2020 (COVID-19, energetska kriza) zahtevale takojšnje ukrepanje v obliki ciljane pomoči prebivalstvu in tako razširile tudi prvotni krog upravičencev do denarne socialne pomoči in varstvenega dodatka. In nenazadnje, tudi na področju pokojninske politik</w:t>
      </w:r>
      <w:r w:rsidR="006E1C96" w:rsidRPr="00D13496">
        <w:rPr>
          <w:rFonts w:ascii="Arial" w:hAnsi="Arial" w:cs="Arial"/>
          <w:iCs/>
          <w:sz w:val="20"/>
          <w:szCs w:val="20"/>
        </w:rPr>
        <w:t>e</w:t>
      </w:r>
      <w:r w:rsidRPr="00D13496">
        <w:rPr>
          <w:rFonts w:ascii="Arial" w:hAnsi="Arial" w:cs="Arial"/>
          <w:iCs/>
          <w:sz w:val="20"/>
          <w:szCs w:val="20"/>
        </w:rPr>
        <w:t xml:space="preserve"> izredne in dodatne uskladitve pokojnin in nadomestil pomenijo znatno razliko med načrtovanimi in izvršenimi izdatki za socialna nadomestila.</w:t>
      </w:r>
    </w:p>
    <w:p w14:paraId="254BCD52" w14:textId="0C8A4BE6" w:rsidR="00874C98" w:rsidRPr="00D13496" w:rsidRDefault="00874C98" w:rsidP="00874C98">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lastRenderedPageBreak/>
        <w:t xml:space="preserve">Fiskalni svet nadalje opozarja na nižanje deleža javnofinančnih prihodkov v BDP. Vlada v zvezi s tem pojasnjuje naslednje. Prihodki državnega proračuna so bili v letu 2021 za 23,1 % višji kot v letu 2020 in za 10,2 % višji kot v letu 2019, kar je bil po epidemiji COVID-19 pozitiven signal v smeri ponovne rasti. </w:t>
      </w:r>
      <w:r w:rsidR="00922ECC" w:rsidRPr="00D13496">
        <w:rPr>
          <w:rFonts w:ascii="Arial" w:hAnsi="Arial" w:cs="Arial"/>
          <w:iCs/>
          <w:sz w:val="20"/>
          <w:szCs w:val="20"/>
        </w:rPr>
        <w:t>Takoj po</w:t>
      </w:r>
      <w:r w:rsidRPr="00D13496">
        <w:rPr>
          <w:rFonts w:ascii="Arial" w:hAnsi="Arial" w:cs="Arial"/>
          <w:iCs/>
          <w:sz w:val="20"/>
          <w:szCs w:val="20"/>
        </w:rPr>
        <w:t xml:space="preserve"> krizi COVID-19 </w:t>
      </w:r>
      <w:r w:rsidR="00922ECC" w:rsidRPr="00D13496">
        <w:rPr>
          <w:rFonts w:ascii="Arial" w:hAnsi="Arial" w:cs="Arial"/>
          <w:iCs/>
          <w:sz w:val="20"/>
          <w:szCs w:val="20"/>
        </w:rPr>
        <w:t xml:space="preserve">smo </w:t>
      </w:r>
      <w:r w:rsidRPr="00D13496">
        <w:rPr>
          <w:rFonts w:ascii="Arial" w:hAnsi="Arial" w:cs="Arial"/>
          <w:iCs/>
          <w:sz w:val="20"/>
          <w:szCs w:val="20"/>
        </w:rPr>
        <w:t xml:space="preserve">v 2022 prešli v novo krizo, povezano z visoko rastjo inflacije in cenami energentov, kar pa je pomembno vplivalo na snovanje smiselnih in vzdržnih politik tudi na strani prihodkov. </w:t>
      </w:r>
    </w:p>
    <w:p w14:paraId="681077E9" w14:textId="4FE58B30" w:rsidR="00874C98" w:rsidRPr="00D13496" w:rsidRDefault="00874C98" w:rsidP="00874C98">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t>Dejstvo je, da so bile tudi projekcije za leto 2022 izredno pozitivne in so bili tako davčni ukrepi na področju dohodnine usmerjeni v okrevanje in krepitev odpornosti gospodarstva ob hkratni skrbi za blaginjo posameznika. Tako je temu sledila tudi sprememba dohodnin</w:t>
      </w:r>
      <w:r w:rsidR="00922ECC" w:rsidRPr="00D13496">
        <w:rPr>
          <w:rFonts w:ascii="Arial" w:hAnsi="Arial" w:cs="Arial"/>
          <w:iCs/>
          <w:sz w:val="20"/>
          <w:szCs w:val="20"/>
        </w:rPr>
        <w:t>ske zakonodaje</w:t>
      </w:r>
      <w:r w:rsidRPr="00D13496">
        <w:rPr>
          <w:rFonts w:ascii="Arial" w:hAnsi="Arial" w:cs="Arial"/>
          <w:iCs/>
          <w:sz w:val="20"/>
          <w:szCs w:val="20"/>
        </w:rPr>
        <w:t xml:space="preserve">, ki je stopila v veljavo v letu 2022 in razbremenila delo, a pri tem bistveno posegla v znižanje prihodkov v letu 2022 in na prihodke v prihodnjih letih (do leta 2025). </w:t>
      </w:r>
    </w:p>
    <w:p w14:paraId="5AD51D87" w14:textId="33CE5173" w:rsidR="00874C98" w:rsidRPr="00D13496" w:rsidRDefault="00922ECC" w:rsidP="00874C98">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t>Za</w:t>
      </w:r>
      <w:r w:rsidR="00874C98" w:rsidRPr="00D13496">
        <w:rPr>
          <w:rFonts w:ascii="Arial" w:hAnsi="Arial" w:cs="Arial"/>
          <w:iCs/>
          <w:sz w:val="20"/>
          <w:szCs w:val="20"/>
        </w:rPr>
        <w:t xml:space="preserve"> zagotavlja</w:t>
      </w:r>
      <w:r w:rsidRPr="00D13496">
        <w:rPr>
          <w:rFonts w:ascii="Arial" w:hAnsi="Arial" w:cs="Arial"/>
          <w:iCs/>
          <w:sz w:val="20"/>
          <w:szCs w:val="20"/>
        </w:rPr>
        <w:t>nje</w:t>
      </w:r>
      <w:r w:rsidR="00874C98" w:rsidRPr="00D13496">
        <w:rPr>
          <w:rFonts w:ascii="Arial" w:hAnsi="Arial" w:cs="Arial"/>
          <w:iCs/>
          <w:sz w:val="20"/>
          <w:szCs w:val="20"/>
        </w:rPr>
        <w:t xml:space="preserve"> nespremenjen</w:t>
      </w:r>
      <w:r w:rsidRPr="00D13496">
        <w:rPr>
          <w:rFonts w:ascii="Arial" w:hAnsi="Arial" w:cs="Arial"/>
          <w:iCs/>
          <w:sz w:val="20"/>
          <w:szCs w:val="20"/>
        </w:rPr>
        <w:t>ega</w:t>
      </w:r>
      <w:r w:rsidR="00874C98" w:rsidRPr="00D13496">
        <w:rPr>
          <w:rFonts w:ascii="Arial" w:hAnsi="Arial" w:cs="Arial"/>
          <w:iCs/>
          <w:sz w:val="20"/>
          <w:szCs w:val="20"/>
        </w:rPr>
        <w:t xml:space="preserve"> razmerj</w:t>
      </w:r>
      <w:r w:rsidRPr="00D13496">
        <w:rPr>
          <w:rFonts w:ascii="Arial" w:hAnsi="Arial" w:cs="Arial"/>
          <w:iCs/>
          <w:sz w:val="20"/>
          <w:szCs w:val="20"/>
        </w:rPr>
        <w:t>a</w:t>
      </w:r>
      <w:r w:rsidR="00874C98" w:rsidRPr="00D13496">
        <w:rPr>
          <w:rFonts w:ascii="Arial" w:hAnsi="Arial" w:cs="Arial"/>
          <w:iCs/>
          <w:sz w:val="20"/>
          <w:szCs w:val="20"/>
        </w:rPr>
        <w:t xml:space="preserve"> med davčnimi prihodki in BDP, </w:t>
      </w:r>
      <w:r w:rsidRPr="00D13496">
        <w:rPr>
          <w:rFonts w:ascii="Arial" w:hAnsi="Arial" w:cs="Arial"/>
          <w:iCs/>
          <w:sz w:val="20"/>
          <w:szCs w:val="20"/>
        </w:rPr>
        <w:t>je treba</w:t>
      </w:r>
      <w:r w:rsidR="00874C98" w:rsidRPr="00D13496">
        <w:rPr>
          <w:rFonts w:ascii="Arial" w:hAnsi="Arial" w:cs="Arial"/>
          <w:iCs/>
          <w:sz w:val="20"/>
          <w:szCs w:val="20"/>
        </w:rPr>
        <w:t xml:space="preserve"> zagotavljati rast davčnih prihodkov vsaj v višini rasti BDP. S tega vidika je pomembno, kateri davki so po velikosti največji oziroma predstavljajo glavne vire prihodkov. Vlada je torej za krepitev socialne pravičnosti in za zagotovitev zdravih javnih financ v prihodnje ustrezno reagirala. S tem namenom je na področju dohodnine sprejela rešitve, ki so pripomogle h krepitvi in izboljšanju javnofinančne slike in tako vplivala na bistveno nižji izpad prihodkov v letu 2023 in tudi v prihodnjih letih. Zagotovila je stabilno financiranje javne porabe in omogočila reagiranje na morebitne prihodnje odzive in pomoč gospodarstvu in prebivalstvu.</w:t>
      </w:r>
    </w:p>
    <w:p w14:paraId="3CDAB5DC" w14:textId="12202E0A" w:rsidR="00874C98" w:rsidRPr="00D13496" w:rsidRDefault="00874C98" w:rsidP="00874C98">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t xml:space="preserve">Spremembe na področju davkov različno vplivajo na rast oz. upad BDP, kar pa je pravzaprav tudi pomembno z vidika priprave ustreznih ukrepov na davčnem področju. Tako velja, da se v obdobjih izrazite rasti ali upada BDP </w:t>
      </w:r>
      <w:r w:rsidR="00611590" w:rsidRPr="00D13496">
        <w:rPr>
          <w:rFonts w:ascii="Arial" w:hAnsi="Arial" w:cs="Arial"/>
          <w:iCs/>
          <w:sz w:val="20"/>
          <w:szCs w:val="20"/>
        </w:rPr>
        <w:t xml:space="preserve">davek na dodano </w:t>
      </w:r>
      <w:r w:rsidR="000D22D4" w:rsidRPr="00D13496">
        <w:rPr>
          <w:rFonts w:ascii="Arial" w:hAnsi="Arial" w:cs="Arial"/>
          <w:iCs/>
          <w:sz w:val="20"/>
          <w:szCs w:val="20"/>
        </w:rPr>
        <w:t>vrednost</w:t>
      </w:r>
      <w:r w:rsidRPr="00D13496">
        <w:rPr>
          <w:rFonts w:ascii="Arial" w:hAnsi="Arial" w:cs="Arial"/>
          <w:iCs/>
          <w:sz w:val="20"/>
          <w:szCs w:val="20"/>
        </w:rPr>
        <w:t xml:space="preserve">, kot največji prihodkovni vir, odzove, medtem ko v obdobjih »normalne« rasti ne izkazuje zelo izrazite rasti oziroma lahko za rastjo nominalnega BDP celo zaostaja. K temu je dodatno prispevala tudi vlada, ko je s ciljem blaženja posledic visokih cen energentov sprejela začasni ukrep nižje stopnje </w:t>
      </w:r>
      <w:r w:rsidR="00611590" w:rsidRPr="00D13496">
        <w:rPr>
          <w:rFonts w:ascii="Arial" w:hAnsi="Arial" w:cs="Arial"/>
          <w:iCs/>
          <w:sz w:val="20"/>
          <w:szCs w:val="20"/>
        </w:rPr>
        <w:t>davka na dodano vrednost</w:t>
      </w:r>
      <w:r w:rsidRPr="00D13496">
        <w:rPr>
          <w:rFonts w:ascii="Arial" w:hAnsi="Arial" w:cs="Arial"/>
          <w:iCs/>
          <w:sz w:val="20"/>
          <w:szCs w:val="20"/>
        </w:rPr>
        <w:t xml:space="preserve"> na določene energente ter enako pri določenih pomembnih energentih znižala trošarine na minimalno raven</w:t>
      </w:r>
      <w:r w:rsidR="008B6098" w:rsidRPr="00D13496">
        <w:rPr>
          <w:rFonts w:ascii="Arial" w:hAnsi="Arial" w:cs="Arial"/>
          <w:iCs/>
          <w:sz w:val="20"/>
          <w:szCs w:val="20"/>
        </w:rPr>
        <w:t>,</w:t>
      </w:r>
      <w:r w:rsidRPr="00D13496">
        <w:rPr>
          <w:rFonts w:ascii="Arial" w:hAnsi="Arial" w:cs="Arial"/>
          <w:iCs/>
          <w:sz w:val="20"/>
          <w:szCs w:val="20"/>
        </w:rPr>
        <w:t xml:space="preserve"> kot jo določa direktiva</w:t>
      </w:r>
      <w:r w:rsidR="001604C1" w:rsidRPr="00D13496">
        <w:rPr>
          <w:rFonts w:ascii="Arial" w:hAnsi="Arial" w:cs="Arial"/>
          <w:iCs/>
          <w:sz w:val="20"/>
          <w:szCs w:val="20"/>
        </w:rPr>
        <w:t xml:space="preserve"> EU</w:t>
      </w:r>
      <w:r w:rsidRPr="00D13496">
        <w:rPr>
          <w:rFonts w:ascii="Arial" w:hAnsi="Arial" w:cs="Arial"/>
          <w:iCs/>
          <w:sz w:val="20"/>
          <w:szCs w:val="20"/>
        </w:rPr>
        <w:t xml:space="preserve">, kot tudi ostalih drugih dajatev. </w:t>
      </w:r>
    </w:p>
    <w:p w14:paraId="52561BF8" w14:textId="3B5C54E1" w:rsidR="00874C98" w:rsidRPr="00D13496" w:rsidRDefault="00874C98" w:rsidP="00874C98">
      <w:pPr>
        <w:overflowPunct w:val="0"/>
        <w:autoSpaceDE w:val="0"/>
        <w:autoSpaceDN w:val="0"/>
        <w:adjustRightInd w:val="0"/>
        <w:spacing w:after="240" w:line="288" w:lineRule="auto"/>
        <w:jc w:val="both"/>
        <w:textAlignment w:val="baseline"/>
        <w:rPr>
          <w:rFonts w:ascii="Arial" w:hAnsi="Arial" w:cs="Arial"/>
          <w:iCs/>
          <w:sz w:val="20"/>
          <w:szCs w:val="20"/>
        </w:rPr>
      </w:pPr>
      <w:r w:rsidRPr="00D13496">
        <w:rPr>
          <w:rFonts w:ascii="Arial" w:hAnsi="Arial" w:cs="Arial"/>
          <w:iCs/>
          <w:sz w:val="20"/>
          <w:szCs w:val="20"/>
        </w:rPr>
        <w:t>Pomembno je, da je vlada delovala usklajeno, in sicer ne samo na davčnem področju temveč tudi ostalih področjih, ki jih je sprejela (tako ukrepi za omilitev posledic energetske krize, kot tudi drugimi razvojnimi in strukturnimi ukrepi, itd.), saj le tako ustvarja poslovno in podporno okolje, ki je stabilno, učinkovito in konkurenčno. Namreč le s tem bo vlada na dolgi rok pripomogla k izboljšanju potenciala prihodkov in vpliva v gibanju BDP. Cilj vlade je, da z ukrepi na različnih področjih, ne samo davčnih, dolgoročno rast prihodkov vsaj izenači z rastjo BDP.</w:t>
      </w:r>
    </w:p>
    <w:p w14:paraId="603117D3" w14:textId="61C3ED6B" w:rsidR="008B6098" w:rsidRPr="00BE1C6C" w:rsidRDefault="008B6098" w:rsidP="00874C98">
      <w:pPr>
        <w:overflowPunct w:val="0"/>
        <w:autoSpaceDE w:val="0"/>
        <w:autoSpaceDN w:val="0"/>
        <w:adjustRightInd w:val="0"/>
        <w:spacing w:after="240" w:line="288" w:lineRule="auto"/>
        <w:jc w:val="both"/>
        <w:textAlignment w:val="baseline"/>
        <w:rPr>
          <w:rFonts w:ascii="Arial" w:hAnsi="Arial" w:cs="Arial"/>
          <w:iCs/>
        </w:rPr>
      </w:pPr>
      <w:r w:rsidRPr="00D13496">
        <w:rPr>
          <w:rFonts w:ascii="Arial" w:hAnsi="Arial" w:cs="Arial"/>
          <w:iCs/>
          <w:sz w:val="20"/>
          <w:szCs w:val="20"/>
        </w:rPr>
        <w:t>Natančnejše obrazložitve sledijo pri pripravi konkretnih dokumentov jeseni – spremembe proračuna za leto 2024, proračuna za leto 2025 ter Osnutka proračunsk</w:t>
      </w:r>
      <w:r w:rsidRPr="008B6098">
        <w:rPr>
          <w:rFonts w:ascii="Arial" w:hAnsi="Arial" w:cs="Arial"/>
          <w:iCs/>
        </w:rPr>
        <w:t>ega načrta 2024.</w:t>
      </w:r>
    </w:p>
    <w:sectPr w:rsidR="008B6098" w:rsidRPr="00BE1C6C" w:rsidSect="00261D9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08A67" w14:textId="77777777" w:rsidR="003528FE" w:rsidRDefault="003528FE" w:rsidP="00AF5960">
      <w:pPr>
        <w:spacing w:after="0" w:line="240" w:lineRule="auto"/>
      </w:pPr>
      <w:r>
        <w:separator/>
      </w:r>
    </w:p>
  </w:endnote>
  <w:endnote w:type="continuationSeparator" w:id="0">
    <w:p w14:paraId="7324A62D" w14:textId="77777777" w:rsidR="003528FE" w:rsidRDefault="003528FE" w:rsidP="00AF5960">
      <w:pPr>
        <w:spacing w:after="0" w:line="240" w:lineRule="auto"/>
      </w:pPr>
      <w:r>
        <w:continuationSeparator/>
      </w:r>
    </w:p>
  </w:endnote>
  <w:endnote w:type="continuationNotice" w:id="1">
    <w:p w14:paraId="3096E661" w14:textId="77777777" w:rsidR="003528FE" w:rsidRDefault="00352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7094" w14:textId="77777777" w:rsidR="00E61696" w:rsidRDefault="00E616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487E" w14:textId="77777777" w:rsidR="003528FE" w:rsidRDefault="003528FE" w:rsidP="00AF5960">
      <w:pPr>
        <w:spacing w:after="0" w:line="240" w:lineRule="auto"/>
      </w:pPr>
      <w:r>
        <w:separator/>
      </w:r>
    </w:p>
  </w:footnote>
  <w:footnote w:type="continuationSeparator" w:id="0">
    <w:p w14:paraId="1E14F82C" w14:textId="77777777" w:rsidR="003528FE" w:rsidRDefault="003528FE" w:rsidP="00AF5960">
      <w:pPr>
        <w:spacing w:after="0" w:line="240" w:lineRule="auto"/>
      </w:pPr>
      <w:r>
        <w:continuationSeparator/>
      </w:r>
    </w:p>
  </w:footnote>
  <w:footnote w:type="continuationNotice" w:id="1">
    <w:p w14:paraId="72555A91" w14:textId="77777777" w:rsidR="003528FE" w:rsidRDefault="003528FE">
      <w:pPr>
        <w:spacing w:after="0" w:line="240" w:lineRule="auto"/>
      </w:pPr>
    </w:p>
  </w:footnote>
  <w:footnote w:id="2">
    <w:p w14:paraId="7901FFCD" w14:textId="3472BB8E" w:rsidR="00112C6D" w:rsidRPr="000F605E" w:rsidRDefault="00112C6D" w:rsidP="000F605E">
      <w:pPr>
        <w:pStyle w:val="Sprotnaopomba-besedilo"/>
        <w:jc w:val="both"/>
        <w:rPr>
          <w:rFonts w:ascii="Arial" w:hAnsi="Arial" w:cs="Arial"/>
          <w:sz w:val="18"/>
          <w:szCs w:val="18"/>
        </w:rPr>
      </w:pPr>
      <w:r w:rsidRPr="000F605E">
        <w:rPr>
          <w:rStyle w:val="Sprotnaopomba-sklic"/>
          <w:rFonts w:ascii="Arial" w:hAnsi="Arial" w:cs="Arial"/>
          <w:sz w:val="18"/>
          <w:szCs w:val="18"/>
        </w:rPr>
        <w:footnoteRef/>
      </w:r>
      <w:r w:rsidRPr="000F605E">
        <w:rPr>
          <w:rFonts w:ascii="Arial" w:hAnsi="Arial" w:cs="Arial"/>
          <w:sz w:val="18"/>
          <w:szCs w:val="18"/>
        </w:rPr>
        <w:t xml:space="preserve"> Kazalnik gospodarske klime je tehtani sintezni kazalnik, ki ga sestavljajo kazalnik zaupanja v predelovalnih dejavnostih (40 %), kazalnik zaupanja v storitvenih dejavnostih (30 %), kazalnik zaupanja potrošnikov (20 %), kazalnik zaupanja v trgovini na drobno (5 %) in kazalnik zaupanja v gradbeništvu (5 %).</w:t>
      </w:r>
    </w:p>
    <w:p w14:paraId="46590ABC" w14:textId="5CBF6078" w:rsidR="00112C6D" w:rsidRDefault="00112C6D">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0C7F" w14:textId="77777777" w:rsidR="00E61696" w:rsidRDefault="00E6169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49B3DB9"/>
    <w:multiLevelType w:val="hybridMultilevel"/>
    <w:tmpl w:val="69E6F89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7DB64C06">
      <w:numFmt w:val="bullet"/>
      <w:lvlText w:val="-"/>
      <w:lvlJc w:val="left"/>
      <w:pPr>
        <w:ind w:left="2160" w:hanging="360"/>
      </w:pPr>
      <w:rPr>
        <w:rFonts w:ascii="Arial" w:eastAsiaTheme="minorHAnsi"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AFB51CA"/>
    <w:multiLevelType w:val="hybridMultilevel"/>
    <w:tmpl w:val="CEE6030A"/>
    <w:lvl w:ilvl="0" w:tplc="07FA71AE">
      <w:start w:val="13"/>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5215210">
    <w:abstractNumId w:val="0"/>
  </w:num>
  <w:num w:numId="2" w16cid:durableId="1700088912">
    <w:abstractNumId w:val="5"/>
  </w:num>
  <w:num w:numId="3" w16cid:durableId="1491478491">
    <w:abstractNumId w:val="4"/>
  </w:num>
  <w:num w:numId="4" w16cid:durableId="1082989983">
    <w:abstractNumId w:val="6"/>
  </w:num>
  <w:num w:numId="5" w16cid:durableId="1169714483">
    <w:abstractNumId w:val="8"/>
  </w:num>
  <w:num w:numId="6" w16cid:durableId="640575843">
    <w:abstractNumId w:val="2"/>
  </w:num>
  <w:num w:numId="7" w16cid:durableId="401221319">
    <w:abstractNumId w:val="1"/>
  </w:num>
  <w:num w:numId="8" w16cid:durableId="1534421078">
    <w:abstractNumId w:val="3"/>
  </w:num>
  <w:num w:numId="9" w16cid:durableId="361134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F83"/>
    <w:rsid w:val="00001F59"/>
    <w:rsid w:val="000074AF"/>
    <w:rsid w:val="00017D17"/>
    <w:rsid w:val="00022FB6"/>
    <w:rsid w:val="000243BF"/>
    <w:rsid w:val="00032149"/>
    <w:rsid w:val="00072D68"/>
    <w:rsid w:val="00093F7D"/>
    <w:rsid w:val="000A3243"/>
    <w:rsid w:val="000B0377"/>
    <w:rsid w:val="000B7F0D"/>
    <w:rsid w:val="000C6864"/>
    <w:rsid w:val="000D22D4"/>
    <w:rsid w:val="000F605E"/>
    <w:rsid w:val="001041D3"/>
    <w:rsid w:val="00106748"/>
    <w:rsid w:val="00107458"/>
    <w:rsid w:val="00112C6D"/>
    <w:rsid w:val="00120AEE"/>
    <w:rsid w:val="0012779B"/>
    <w:rsid w:val="00146133"/>
    <w:rsid w:val="001604C1"/>
    <w:rsid w:val="00183282"/>
    <w:rsid w:val="00186D82"/>
    <w:rsid w:val="001973E4"/>
    <w:rsid w:val="001A2A48"/>
    <w:rsid w:val="001A6C32"/>
    <w:rsid w:val="001B66B9"/>
    <w:rsid w:val="001E2735"/>
    <w:rsid w:val="001F2A71"/>
    <w:rsid w:val="00207B35"/>
    <w:rsid w:val="0021155D"/>
    <w:rsid w:val="00211ACC"/>
    <w:rsid w:val="00213F8C"/>
    <w:rsid w:val="0022310A"/>
    <w:rsid w:val="002243F7"/>
    <w:rsid w:val="00246302"/>
    <w:rsid w:val="0024731C"/>
    <w:rsid w:val="00261D90"/>
    <w:rsid w:val="00295311"/>
    <w:rsid w:val="0029567D"/>
    <w:rsid w:val="00296B4D"/>
    <w:rsid w:val="002B1192"/>
    <w:rsid w:val="002B3231"/>
    <w:rsid w:val="002C4BE4"/>
    <w:rsid w:val="002D6085"/>
    <w:rsid w:val="003058C3"/>
    <w:rsid w:val="00321A64"/>
    <w:rsid w:val="00325254"/>
    <w:rsid w:val="00343499"/>
    <w:rsid w:val="003514D2"/>
    <w:rsid w:val="003528FE"/>
    <w:rsid w:val="00355F71"/>
    <w:rsid w:val="00377C5F"/>
    <w:rsid w:val="00386D86"/>
    <w:rsid w:val="00394EB3"/>
    <w:rsid w:val="003A1395"/>
    <w:rsid w:val="003A4C4B"/>
    <w:rsid w:val="003B000C"/>
    <w:rsid w:val="003B1A7C"/>
    <w:rsid w:val="003B72D9"/>
    <w:rsid w:val="003C26D8"/>
    <w:rsid w:val="003C4FC9"/>
    <w:rsid w:val="003C5AE9"/>
    <w:rsid w:val="003F0957"/>
    <w:rsid w:val="00446783"/>
    <w:rsid w:val="00447A48"/>
    <w:rsid w:val="00457EAD"/>
    <w:rsid w:val="00464C1F"/>
    <w:rsid w:val="00464D3A"/>
    <w:rsid w:val="0046515C"/>
    <w:rsid w:val="00474DA2"/>
    <w:rsid w:val="00487071"/>
    <w:rsid w:val="004908A0"/>
    <w:rsid w:val="004B7F57"/>
    <w:rsid w:val="004C1553"/>
    <w:rsid w:val="004D30AE"/>
    <w:rsid w:val="004D55CE"/>
    <w:rsid w:val="004E007D"/>
    <w:rsid w:val="004E06B1"/>
    <w:rsid w:val="004F0388"/>
    <w:rsid w:val="004F1197"/>
    <w:rsid w:val="00505874"/>
    <w:rsid w:val="00520E4B"/>
    <w:rsid w:val="0053608B"/>
    <w:rsid w:val="00583249"/>
    <w:rsid w:val="00584E30"/>
    <w:rsid w:val="00597BDE"/>
    <w:rsid w:val="005B0E87"/>
    <w:rsid w:val="005B6345"/>
    <w:rsid w:val="005C002A"/>
    <w:rsid w:val="005E0B32"/>
    <w:rsid w:val="005E20E4"/>
    <w:rsid w:val="005E7021"/>
    <w:rsid w:val="005E7665"/>
    <w:rsid w:val="005F0BDD"/>
    <w:rsid w:val="005F1970"/>
    <w:rsid w:val="005F3A8F"/>
    <w:rsid w:val="005F5352"/>
    <w:rsid w:val="00611590"/>
    <w:rsid w:val="00615EFE"/>
    <w:rsid w:val="00616431"/>
    <w:rsid w:val="0063387F"/>
    <w:rsid w:val="00634E55"/>
    <w:rsid w:val="00646ADA"/>
    <w:rsid w:val="00651ACA"/>
    <w:rsid w:val="00651CC6"/>
    <w:rsid w:val="00661B26"/>
    <w:rsid w:val="00667E0E"/>
    <w:rsid w:val="00683E77"/>
    <w:rsid w:val="006840F3"/>
    <w:rsid w:val="00691B50"/>
    <w:rsid w:val="00691D5E"/>
    <w:rsid w:val="00695EC3"/>
    <w:rsid w:val="006A5F78"/>
    <w:rsid w:val="006B0E06"/>
    <w:rsid w:val="006C455E"/>
    <w:rsid w:val="006E04C7"/>
    <w:rsid w:val="006E1C96"/>
    <w:rsid w:val="006F0EEF"/>
    <w:rsid w:val="006F1E1F"/>
    <w:rsid w:val="00704894"/>
    <w:rsid w:val="007239B9"/>
    <w:rsid w:val="0074437B"/>
    <w:rsid w:val="00756A74"/>
    <w:rsid w:val="007613DD"/>
    <w:rsid w:val="00773E5F"/>
    <w:rsid w:val="00784946"/>
    <w:rsid w:val="00785645"/>
    <w:rsid w:val="007873B3"/>
    <w:rsid w:val="007A3DCD"/>
    <w:rsid w:val="007A5B6D"/>
    <w:rsid w:val="007D5FB5"/>
    <w:rsid w:val="007E01A3"/>
    <w:rsid w:val="007F07D1"/>
    <w:rsid w:val="007F3E3D"/>
    <w:rsid w:val="008120EC"/>
    <w:rsid w:val="00814A8A"/>
    <w:rsid w:val="0081767B"/>
    <w:rsid w:val="0082186F"/>
    <w:rsid w:val="00821D5C"/>
    <w:rsid w:val="0082543F"/>
    <w:rsid w:val="00854721"/>
    <w:rsid w:val="00857AA7"/>
    <w:rsid w:val="00864871"/>
    <w:rsid w:val="0087194E"/>
    <w:rsid w:val="00874C98"/>
    <w:rsid w:val="008811E0"/>
    <w:rsid w:val="00894C04"/>
    <w:rsid w:val="008A23AE"/>
    <w:rsid w:val="008A6DF9"/>
    <w:rsid w:val="008B6098"/>
    <w:rsid w:val="008C03A2"/>
    <w:rsid w:val="008C4C56"/>
    <w:rsid w:val="008C6EF9"/>
    <w:rsid w:val="008D1A4A"/>
    <w:rsid w:val="008F210F"/>
    <w:rsid w:val="00917BB4"/>
    <w:rsid w:val="00922811"/>
    <w:rsid w:val="00922ECC"/>
    <w:rsid w:val="00935656"/>
    <w:rsid w:val="00944C31"/>
    <w:rsid w:val="009557A9"/>
    <w:rsid w:val="0096131A"/>
    <w:rsid w:val="0096331B"/>
    <w:rsid w:val="00990888"/>
    <w:rsid w:val="009A2550"/>
    <w:rsid w:val="009B0746"/>
    <w:rsid w:val="009B5471"/>
    <w:rsid w:val="009C2DB3"/>
    <w:rsid w:val="009C6C49"/>
    <w:rsid w:val="009D0EBB"/>
    <w:rsid w:val="009D238E"/>
    <w:rsid w:val="009E1D75"/>
    <w:rsid w:val="009E572B"/>
    <w:rsid w:val="00A04455"/>
    <w:rsid w:val="00A12AE6"/>
    <w:rsid w:val="00A14253"/>
    <w:rsid w:val="00A22D39"/>
    <w:rsid w:val="00A30536"/>
    <w:rsid w:val="00A31D94"/>
    <w:rsid w:val="00A44E07"/>
    <w:rsid w:val="00A504D1"/>
    <w:rsid w:val="00A97D74"/>
    <w:rsid w:val="00AA18C0"/>
    <w:rsid w:val="00AC30BC"/>
    <w:rsid w:val="00AD4CCA"/>
    <w:rsid w:val="00AE1A9C"/>
    <w:rsid w:val="00AE1F83"/>
    <w:rsid w:val="00AE58E4"/>
    <w:rsid w:val="00AF5960"/>
    <w:rsid w:val="00B032A3"/>
    <w:rsid w:val="00B1082A"/>
    <w:rsid w:val="00B10C0D"/>
    <w:rsid w:val="00B1758A"/>
    <w:rsid w:val="00B35C77"/>
    <w:rsid w:val="00B379A0"/>
    <w:rsid w:val="00B5124A"/>
    <w:rsid w:val="00B52606"/>
    <w:rsid w:val="00B55FB3"/>
    <w:rsid w:val="00B65564"/>
    <w:rsid w:val="00B7390E"/>
    <w:rsid w:val="00B763E5"/>
    <w:rsid w:val="00B77811"/>
    <w:rsid w:val="00B82A8C"/>
    <w:rsid w:val="00B86D12"/>
    <w:rsid w:val="00B916CA"/>
    <w:rsid w:val="00BA3128"/>
    <w:rsid w:val="00BB043C"/>
    <w:rsid w:val="00BB49E4"/>
    <w:rsid w:val="00BC1355"/>
    <w:rsid w:val="00BC1CC1"/>
    <w:rsid w:val="00BE1C6C"/>
    <w:rsid w:val="00BF266D"/>
    <w:rsid w:val="00BF6490"/>
    <w:rsid w:val="00C06E80"/>
    <w:rsid w:val="00C24B2C"/>
    <w:rsid w:val="00C44C5F"/>
    <w:rsid w:val="00C620C5"/>
    <w:rsid w:val="00C7067C"/>
    <w:rsid w:val="00C81ED8"/>
    <w:rsid w:val="00C92CEC"/>
    <w:rsid w:val="00CA4F04"/>
    <w:rsid w:val="00CB31B3"/>
    <w:rsid w:val="00CB7D16"/>
    <w:rsid w:val="00CC1EC2"/>
    <w:rsid w:val="00CC4093"/>
    <w:rsid w:val="00CD0716"/>
    <w:rsid w:val="00CD1C09"/>
    <w:rsid w:val="00CE4C06"/>
    <w:rsid w:val="00CF05E1"/>
    <w:rsid w:val="00CF3A86"/>
    <w:rsid w:val="00D006A0"/>
    <w:rsid w:val="00D01B57"/>
    <w:rsid w:val="00D02ACD"/>
    <w:rsid w:val="00D13496"/>
    <w:rsid w:val="00D1492D"/>
    <w:rsid w:val="00D53D1E"/>
    <w:rsid w:val="00D746EE"/>
    <w:rsid w:val="00DA62F7"/>
    <w:rsid w:val="00DA7E07"/>
    <w:rsid w:val="00DB7DB4"/>
    <w:rsid w:val="00DC5AC0"/>
    <w:rsid w:val="00DC6E5F"/>
    <w:rsid w:val="00DC7C9A"/>
    <w:rsid w:val="00DD0224"/>
    <w:rsid w:val="00DD0A34"/>
    <w:rsid w:val="00DD19DD"/>
    <w:rsid w:val="00DD2FB9"/>
    <w:rsid w:val="00E00B9F"/>
    <w:rsid w:val="00E07C57"/>
    <w:rsid w:val="00E313DC"/>
    <w:rsid w:val="00E358BE"/>
    <w:rsid w:val="00E45965"/>
    <w:rsid w:val="00E51583"/>
    <w:rsid w:val="00E53481"/>
    <w:rsid w:val="00E5378F"/>
    <w:rsid w:val="00E578D5"/>
    <w:rsid w:val="00E61696"/>
    <w:rsid w:val="00E839BE"/>
    <w:rsid w:val="00E86DDA"/>
    <w:rsid w:val="00EA2168"/>
    <w:rsid w:val="00EA7390"/>
    <w:rsid w:val="00EB1146"/>
    <w:rsid w:val="00EB37E5"/>
    <w:rsid w:val="00EC7040"/>
    <w:rsid w:val="00ED3D5C"/>
    <w:rsid w:val="00ED48CE"/>
    <w:rsid w:val="00EE26CD"/>
    <w:rsid w:val="00EE4CC4"/>
    <w:rsid w:val="00EE7E18"/>
    <w:rsid w:val="00EF2DD1"/>
    <w:rsid w:val="00F0333E"/>
    <w:rsid w:val="00F06F46"/>
    <w:rsid w:val="00F141A3"/>
    <w:rsid w:val="00F17262"/>
    <w:rsid w:val="00F20D51"/>
    <w:rsid w:val="00F27B83"/>
    <w:rsid w:val="00F346AF"/>
    <w:rsid w:val="00F563DE"/>
    <w:rsid w:val="00F840DB"/>
    <w:rsid w:val="00FA7F49"/>
    <w:rsid w:val="00FB3466"/>
    <w:rsid w:val="00FB397B"/>
    <w:rsid w:val="00FB6991"/>
    <w:rsid w:val="00FC1B48"/>
    <w:rsid w:val="00FC5BCE"/>
    <w:rsid w:val="00FC7849"/>
    <w:rsid w:val="00FE0F48"/>
    <w:rsid w:val="00FF53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99064"/>
  <w15:docId w15:val="{BAAFD23C-FE21-4D90-A727-8D444353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61D9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B7F57"/>
    <w:pPr>
      <w:tabs>
        <w:tab w:val="center" w:pos="4320"/>
        <w:tab w:val="right" w:pos="8640"/>
      </w:tabs>
      <w:spacing w:after="0" w:line="260" w:lineRule="exact"/>
    </w:pPr>
    <w:rPr>
      <w:rFonts w:ascii="Arial" w:eastAsia="Times New Roman" w:hAnsi="Arial" w:cs="Times New Roman"/>
      <w:sz w:val="20"/>
      <w:szCs w:val="24"/>
      <w:lang w:val="en-US"/>
    </w:rPr>
  </w:style>
  <w:style w:type="character" w:customStyle="1" w:styleId="GlavaZnak">
    <w:name w:val="Glava Znak"/>
    <w:basedOn w:val="Privzetapisavaodstavka"/>
    <w:link w:val="Glava"/>
    <w:rsid w:val="004B7F57"/>
    <w:rPr>
      <w:rFonts w:ascii="Arial" w:eastAsia="Times New Roman" w:hAnsi="Arial" w:cs="Times New Roman"/>
      <w:sz w:val="20"/>
      <w:szCs w:val="24"/>
      <w:lang w:val="en-US"/>
    </w:rPr>
  </w:style>
  <w:style w:type="paragraph" w:customStyle="1" w:styleId="Odstavekseznama1">
    <w:name w:val="Odstavek seznama1"/>
    <w:basedOn w:val="Navaden"/>
    <w:qFormat/>
    <w:rsid w:val="004B7F57"/>
    <w:pPr>
      <w:spacing w:after="0" w:line="240" w:lineRule="auto"/>
      <w:ind w:left="720"/>
      <w:contextualSpacing/>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A14253"/>
    <w:pPr>
      <w:ind w:left="720"/>
      <w:contextualSpacing/>
    </w:pPr>
  </w:style>
  <w:style w:type="character" w:styleId="Hiperpovezava">
    <w:name w:val="Hyperlink"/>
    <w:basedOn w:val="Privzetapisavaodstavka"/>
    <w:uiPriority w:val="99"/>
    <w:unhideWhenUsed/>
    <w:rsid w:val="00AF5960"/>
    <w:rPr>
      <w:color w:val="0000FF"/>
      <w:u w:val="single"/>
    </w:rPr>
  </w:style>
  <w:style w:type="paragraph" w:styleId="Sprotnaopomba-besedilo">
    <w:name w:val="footnote text"/>
    <w:basedOn w:val="Navaden"/>
    <w:link w:val="Sprotnaopomba-besediloZnak"/>
    <w:uiPriority w:val="99"/>
    <w:unhideWhenUsed/>
    <w:rsid w:val="00AF5960"/>
    <w:pPr>
      <w:spacing w:after="0" w:line="240" w:lineRule="auto"/>
    </w:pPr>
    <w:rPr>
      <w:rFonts w:ascii="Calibri" w:hAnsi="Calibri" w:cs="Calibri"/>
      <w:sz w:val="20"/>
      <w:szCs w:val="20"/>
      <w:lang w:eastAsia="sl-SI"/>
    </w:rPr>
  </w:style>
  <w:style w:type="character" w:customStyle="1" w:styleId="Sprotnaopomba-besediloZnak">
    <w:name w:val="Sprotna opomba - besedilo Znak"/>
    <w:basedOn w:val="Privzetapisavaodstavka"/>
    <w:link w:val="Sprotnaopomba-besedilo"/>
    <w:uiPriority w:val="99"/>
    <w:rsid w:val="00AF5960"/>
    <w:rPr>
      <w:rFonts w:ascii="Calibri" w:hAnsi="Calibri" w:cs="Calibri"/>
      <w:sz w:val="20"/>
      <w:szCs w:val="20"/>
      <w:lang w:eastAsia="sl-SI"/>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
    <w:basedOn w:val="Privzetapisavaodstavka"/>
    <w:uiPriority w:val="99"/>
    <w:unhideWhenUsed/>
    <w:qFormat/>
    <w:rsid w:val="00AF5960"/>
    <w:rPr>
      <w:vertAlign w:val="superscript"/>
    </w:rPr>
  </w:style>
  <w:style w:type="character" w:styleId="Pripombasklic">
    <w:name w:val="annotation reference"/>
    <w:basedOn w:val="Privzetapisavaodstavka"/>
    <w:uiPriority w:val="99"/>
    <w:semiHidden/>
    <w:unhideWhenUsed/>
    <w:rsid w:val="00B10C0D"/>
    <w:rPr>
      <w:sz w:val="16"/>
      <w:szCs w:val="16"/>
    </w:rPr>
  </w:style>
  <w:style w:type="paragraph" w:styleId="Pripombabesedilo">
    <w:name w:val="annotation text"/>
    <w:basedOn w:val="Navaden"/>
    <w:link w:val="PripombabesediloZnak"/>
    <w:uiPriority w:val="99"/>
    <w:unhideWhenUsed/>
    <w:rsid w:val="00B10C0D"/>
    <w:pPr>
      <w:spacing w:line="240" w:lineRule="auto"/>
    </w:pPr>
    <w:rPr>
      <w:sz w:val="20"/>
      <w:szCs w:val="20"/>
    </w:rPr>
  </w:style>
  <w:style w:type="character" w:customStyle="1" w:styleId="PripombabesediloZnak">
    <w:name w:val="Pripomba – besedilo Znak"/>
    <w:basedOn w:val="Privzetapisavaodstavka"/>
    <w:link w:val="Pripombabesedilo"/>
    <w:uiPriority w:val="99"/>
    <w:rsid w:val="00B10C0D"/>
    <w:rPr>
      <w:sz w:val="20"/>
      <w:szCs w:val="20"/>
    </w:rPr>
  </w:style>
  <w:style w:type="paragraph" w:styleId="Zadevapripombe">
    <w:name w:val="annotation subject"/>
    <w:basedOn w:val="Pripombabesedilo"/>
    <w:next w:val="Pripombabesedilo"/>
    <w:link w:val="ZadevapripombeZnak"/>
    <w:uiPriority w:val="99"/>
    <w:semiHidden/>
    <w:unhideWhenUsed/>
    <w:rsid w:val="00B10C0D"/>
    <w:rPr>
      <w:b/>
      <w:bCs/>
    </w:rPr>
  </w:style>
  <w:style w:type="character" w:customStyle="1" w:styleId="ZadevapripombeZnak">
    <w:name w:val="Zadeva pripombe Znak"/>
    <w:basedOn w:val="PripombabesediloZnak"/>
    <w:link w:val="Zadevapripombe"/>
    <w:uiPriority w:val="99"/>
    <w:semiHidden/>
    <w:rsid w:val="00B10C0D"/>
    <w:rPr>
      <w:b/>
      <w:bCs/>
      <w:sz w:val="20"/>
      <w:szCs w:val="20"/>
    </w:rPr>
  </w:style>
  <w:style w:type="paragraph" w:styleId="Besedilooblaka">
    <w:name w:val="Balloon Text"/>
    <w:basedOn w:val="Navaden"/>
    <w:link w:val="BesedilooblakaZnak"/>
    <w:uiPriority w:val="99"/>
    <w:semiHidden/>
    <w:unhideWhenUsed/>
    <w:rsid w:val="0096331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6331B"/>
    <w:rPr>
      <w:rFonts w:ascii="Tahoma" w:hAnsi="Tahoma" w:cs="Tahoma"/>
      <w:sz w:val="16"/>
      <w:szCs w:val="16"/>
    </w:rPr>
  </w:style>
  <w:style w:type="character" w:styleId="SledenaHiperpovezava">
    <w:name w:val="FollowedHyperlink"/>
    <w:basedOn w:val="Privzetapisavaodstavka"/>
    <w:uiPriority w:val="99"/>
    <w:semiHidden/>
    <w:unhideWhenUsed/>
    <w:rsid w:val="002B3231"/>
    <w:rPr>
      <w:color w:val="954F72" w:themeColor="followedHyperlink"/>
      <w:u w:val="single"/>
    </w:rPr>
  </w:style>
  <w:style w:type="paragraph" w:styleId="Noga">
    <w:name w:val="footer"/>
    <w:basedOn w:val="Navaden"/>
    <w:link w:val="NogaZnak"/>
    <w:uiPriority w:val="99"/>
    <w:unhideWhenUsed/>
    <w:rsid w:val="00E61696"/>
    <w:pPr>
      <w:tabs>
        <w:tab w:val="center" w:pos="4536"/>
        <w:tab w:val="right" w:pos="9072"/>
      </w:tabs>
      <w:spacing w:after="0" w:line="240" w:lineRule="auto"/>
    </w:pPr>
  </w:style>
  <w:style w:type="character" w:customStyle="1" w:styleId="NogaZnak">
    <w:name w:val="Noga Znak"/>
    <w:basedOn w:val="Privzetapisavaodstavka"/>
    <w:link w:val="Noga"/>
    <w:uiPriority w:val="99"/>
    <w:rsid w:val="00E61696"/>
  </w:style>
  <w:style w:type="paragraph" w:styleId="Napis">
    <w:name w:val="caption"/>
    <w:basedOn w:val="Navaden"/>
    <w:next w:val="Navaden"/>
    <w:uiPriority w:val="35"/>
    <w:semiHidden/>
    <w:unhideWhenUsed/>
    <w:qFormat/>
    <w:rsid w:val="00464D3A"/>
    <w:pPr>
      <w:spacing w:after="200" w:line="240" w:lineRule="auto"/>
    </w:pPr>
    <w:rPr>
      <w:i/>
      <w:iCs/>
      <w:color w:val="44546A" w:themeColor="text2"/>
      <w:sz w:val="18"/>
      <w:szCs w:val="18"/>
      <w:lang w:val="en-US"/>
    </w:rPr>
  </w:style>
  <w:style w:type="paragraph" w:styleId="Revizija">
    <w:name w:val="Revision"/>
    <w:hidden/>
    <w:uiPriority w:val="99"/>
    <w:semiHidden/>
    <w:rsid w:val="001E2735"/>
    <w:pPr>
      <w:spacing w:after="0" w:line="240" w:lineRule="auto"/>
    </w:pPr>
  </w:style>
  <w:style w:type="paragraph" w:customStyle="1" w:styleId="datumtevilka">
    <w:name w:val="datum številka"/>
    <w:basedOn w:val="Navaden"/>
    <w:qFormat/>
    <w:rsid w:val="00D13496"/>
    <w:pPr>
      <w:tabs>
        <w:tab w:val="left" w:pos="1701"/>
      </w:tabs>
      <w:spacing w:after="0" w:line="260" w:lineRule="exact"/>
    </w:pPr>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6915">
      <w:bodyDiv w:val="1"/>
      <w:marLeft w:val="0"/>
      <w:marRight w:val="0"/>
      <w:marTop w:val="0"/>
      <w:marBottom w:val="0"/>
      <w:divBdr>
        <w:top w:val="none" w:sz="0" w:space="0" w:color="auto"/>
        <w:left w:val="none" w:sz="0" w:space="0" w:color="auto"/>
        <w:bottom w:val="none" w:sz="0" w:space="0" w:color="auto"/>
        <w:right w:val="none" w:sz="0" w:space="0" w:color="auto"/>
      </w:divBdr>
    </w:div>
    <w:div w:id="579948037">
      <w:bodyDiv w:val="1"/>
      <w:marLeft w:val="0"/>
      <w:marRight w:val="0"/>
      <w:marTop w:val="0"/>
      <w:marBottom w:val="0"/>
      <w:divBdr>
        <w:top w:val="none" w:sz="0" w:space="0" w:color="auto"/>
        <w:left w:val="none" w:sz="0" w:space="0" w:color="auto"/>
        <w:bottom w:val="none" w:sz="0" w:space="0" w:color="auto"/>
        <w:right w:val="none" w:sz="0" w:space="0" w:color="auto"/>
      </w:divBdr>
    </w:div>
    <w:div w:id="593174445">
      <w:bodyDiv w:val="1"/>
      <w:marLeft w:val="0"/>
      <w:marRight w:val="0"/>
      <w:marTop w:val="0"/>
      <w:marBottom w:val="0"/>
      <w:divBdr>
        <w:top w:val="none" w:sz="0" w:space="0" w:color="auto"/>
        <w:left w:val="none" w:sz="0" w:space="0" w:color="auto"/>
        <w:bottom w:val="none" w:sz="0" w:space="0" w:color="auto"/>
        <w:right w:val="none" w:sz="0" w:space="0" w:color="auto"/>
      </w:divBdr>
    </w:div>
    <w:div w:id="724717698">
      <w:bodyDiv w:val="1"/>
      <w:marLeft w:val="0"/>
      <w:marRight w:val="0"/>
      <w:marTop w:val="0"/>
      <w:marBottom w:val="0"/>
      <w:divBdr>
        <w:top w:val="none" w:sz="0" w:space="0" w:color="auto"/>
        <w:left w:val="none" w:sz="0" w:space="0" w:color="auto"/>
        <w:bottom w:val="none" w:sz="0" w:space="0" w:color="auto"/>
        <w:right w:val="none" w:sz="0" w:space="0" w:color="auto"/>
      </w:divBdr>
    </w:div>
    <w:div w:id="1285117785">
      <w:bodyDiv w:val="1"/>
      <w:marLeft w:val="0"/>
      <w:marRight w:val="0"/>
      <w:marTop w:val="0"/>
      <w:marBottom w:val="0"/>
      <w:divBdr>
        <w:top w:val="none" w:sz="0" w:space="0" w:color="auto"/>
        <w:left w:val="none" w:sz="0" w:space="0" w:color="auto"/>
        <w:bottom w:val="none" w:sz="0" w:space="0" w:color="auto"/>
        <w:right w:val="none" w:sz="0" w:space="0" w:color="auto"/>
      </w:divBdr>
    </w:div>
    <w:div w:id="1405955781">
      <w:bodyDiv w:val="1"/>
      <w:marLeft w:val="0"/>
      <w:marRight w:val="0"/>
      <w:marTop w:val="0"/>
      <w:marBottom w:val="0"/>
      <w:divBdr>
        <w:top w:val="none" w:sz="0" w:space="0" w:color="auto"/>
        <w:left w:val="none" w:sz="0" w:space="0" w:color="auto"/>
        <w:bottom w:val="none" w:sz="0" w:space="0" w:color="auto"/>
        <w:right w:val="none" w:sz="0" w:space="0" w:color="auto"/>
      </w:divBdr>
    </w:div>
    <w:div w:id="1436629708">
      <w:bodyDiv w:val="1"/>
      <w:marLeft w:val="0"/>
      <w:marRight w:val="0"/>
      <w:marTop w:val="0"/>
      <w:marBottom w:val="0"/>
      <w:divBdr>
        <w:top w:val="none" w:sz="0" w:space="0" w:color="auto"/>
        <w:left w:val="none" w:sz="0" w:space="0" w:color="auto"/>
        <w:bottom w:val="none" w:sz="0" w:space="0" w:color="auto"/>
        <w:right w:val="none" w:sz="0" w:space="0" w:color="auto"/>
      </w:divBdr>
    </w:div>
    <w:div w:id="1495337378">
      <w:bodyDiv w:val="1"/>
      <w:marLeft w:val="0"/>
      <w:marRight w:val="0"/>
      <w:marTop w:val="0"/>
      <w:marBottom w:val="0"/>
      <w:divBdr>
        <w:top w:val="none" w:sz="0" w:space="0" w:color="auto"/>
        <w:left w:val="none" w:sz="0" w:space="0" w:color="auto"/>
        <w:bottom w:val="none" w:sz="0" w:space="0" w:color="auto"/>
        <w:right w:val="none" w:sz="0" w:space="0" w:color="auto"/>
      </w:divBdr>
    </w:div>
    <w:div w:id="1657294580">
      <w:bodyDiv w:val="1"/>
      <w:marLeft w:val="0"/>
      <w:marRight w:val="0"/>
      <w:marTop w:val="0"/>
      <w:marBottom w:val="0"/>
      <w:divBdr>
        <w:top w:val="none" w:sz="0" w:space="0" w:color="auto"/>
        <w:left w:val="none" w:sz="0" w:space="0" w:color="auto"/>
        <w:bottom w:val="none" w:sz="0" w:space="0" w:color="auto"/>
        <w:right w:val="none" w:sz="0" w:space="0" w:color="auto"/>
      </w:divBdr>
    </w:div>
    <w:div w:id="1707488549">
      <w:bodyDiv w:val="1"/>
      <w:marLeft w:val="0"/>
      <w:marRight w:val="0"/>
      <w:marTop w:val="0"/>
      <w:marBottom w:val="0"/>
      <w:divBdr>
        <w:top w:val="none" w:sz="0" w:space="0" w:color="auto"/>
        <w:left w:val="none" w:sz="0" w:space="0" w:color="auto"/>
        <w:bottom w:val="none" w:sz="0" w:space="0" w:color="auto"/>
        <w:right w:val="none" w:sz="0" w:space="0" w:color="auto"/>
      </w:divBdr>
    </w:div>
    <w:div w:id="1719163205">
      <w:bodyDiv w:val="1"/>
      <w:marLeft w:val="0"/>
      <w:marRight w:val="0"/>
      <w:marTop w:val="0"/>
      <w:marBottom w:val="0"/>
      <w:divBdr>
        <w:top w:val="none" w:sz="0" w:space="0" w:color="auto"/>
        <w:left w:val="none" w:sz="0" w:space="0" w:color="auto"/>
        <w:bottom w:val="none" w:sz="0" w:space="0" w:color="auto"/>
        <w:right w:val="none" w:sz="0" w:space="0" w:color="auto"/>
      </w:divBdr>
    </w:div>
    <w:div w:id="190047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osebno\MilanezA72\PS%202023\poslovne%20tendenc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303660515717984E-2"/>
          <c:y val="2.9418539587909871E-2"/>
          <c:w val="0.90930448197792069"/>
          <c:h val="0.73959334927108"/>
        </c:manualLayout>
      </c:layout>
      <c:barChart>
        <c:barDir val="col"/>
        <c:grouping val="clustered"/>
        <c:varyColors val="0"/>
        <c:ser>
          <c:idx val="0"/>
          <c:order val="0"/>
          <c:tx>
            <c:strRef>
              <c:f>Sheet1!$A$2</c:f>
              <c:strCache>
                <c:ptCount val="1"/>
                <c:pt idx="0">
                  <c:v>2022M12</c:v>
                </c:pt>
              </c:strCache>
            </c:strRef>
          </c:tx>
          <c:spPr>
            <a:solidFill>
              <a:schemeClr val="accent1"/>
            </a:solidFill>
            <a:ln>
              <a:noFill/>
            </a:ln>
            <a:effectLst/>
          </c:spPr>
          <c:invertIfNegative val="0"/>
          <c:cat>
            <c:strRef>
              <c:f>Sheet1!$B$1:$G$1</c:f>
              <c:strCache>
                <c:ptCount val="6"/>
                <c:pt idx="0">
                  <c:v>Kazalnik gospodarske klime</c:v>
                </c:pt>
                <c:pt idx="1">
                  <c:v>Kazalnik zaupanja v predelovalnih dejavnostih</c:v>
                </c:pt>
                <c:pt idx="2">
                  <c:v>Kazalnik zaupanja v trgovini na drobno</c:v>
                </c:pt>
                <c:pt idx="3">
                  <c:v>Kazalnik zaupanja potrošnikov</c:v>
                </c:pt>
                <c:pt idx="4">
                  <c:v>Kazalnik zaupanja v storitvenih dejavnostih</c:v>
                </c:pt>
                <c:pt idx="5">
                  <c:v>Kazalnik zaupanja v gradbeništvu</c:v>
                </c:pt>
              </c:strCache>
            </c:strRef>
          </c:cat>
          <c:val>
            <c:numRef>
              <c:f>Sheet1!$B$2:$G$2</c:f>
              <c:numCache>
                <c:formatCode>0</c:formatCode>
                <c:ptCount val="6"/>
                <c:pt idx="0" formatCode="0.0">
                  <c:v>0.7</c:v>
                </c:pt>
                <c:pt idx="1">
                  <c:v>-3</c:v>
                </c:pt>
                <c:pt idx="2">
                  <c:v>23</c:v>
                </c:pt>
                <c:pt idx="3">
                  <c:v>-31</c:v>
                </c:pt>
                <c:pt idx="4">
                  <c:v>19</c:v>
                </c:pt>
                <c:pt idx="5">
                  <c:v>23</c:v>
                </c:pt>
              </c:numCache>
            </c:numRef>
          </c:val>
          <c:extLst>
            <c:ext xmlns:c16="http://schemas.microsoft.com/office/drawing/2014/chart" uri="{C3380CC4-5D6E-409C-BE32-E72D297353CC}">
              <c16:uniqueId val="{00000000-D9BF-4189-BE45-69B8471E5C4F}"/>
            </c:ext>
          </c:extLst>
        </c:ser>
        <c:ser>
          <c:idx val="1"/>
          <c:order val="1"/>
          <c:tx>
            <c:strRef>
              <c:f>Sheet1!$A$3</c:f>
              <c:strCache>
                <c:ptCount val="1"/>
                <c:pt idx="0">
                  <c:v>2023M01</c:v>
                </c:pt>
              </c:strCache>
            </c:strRef>
          </c:tx>
          <c:spPr>
            <a:solidFill>
              <a:schemeClr val="accent1">
                <a:lumMod val="20000"/>
                <a:lumOff val="80000"/>
              </a:schemeClr>
            </a:solidFill>
            <a:ln>
              <a:noFill/>
            </a:ln>
            <a:effectLst/>
          </c:spPr>
          <c:invertIfNegative val="0"/>
          <c:cat>
            <c:strRef>
              <c:f>Sheet1!$B$1:$G$1</c:f>
              <c:strCache>
                <c:ptCount val="6"/>
                <c:pt idx="0">
                  <c:v>Kazalnik gospodarske klime</c:v>
                </c:pt>
                <c:pt idx="1">
                  <c:v>Kazalnik zaupanja v predelovalnih dejavnostih</c:v>
                </c:pt>
                <c:pt idx="2">
                  <c:v>Kazalnik zaupanja v trgovini na drobno</c:v>
                </c:pt>
                <c:pt idx="3">
                  <c:v>Kazalnik zaupanja potrošnikov</c:v>
                </c:pt>
                <c:pt idx="4">
                  <c:v>Kazalnik zaupanja v storitvenih dejavnostih</c:v>
                </c:pt>
                <c:pt idx="5">
                  <c:v>Kazalnik zaupanja v gradbeništvu</c:v>
                </c:pt>
              </c:strCache>
            </c:strRef>
          </c:cat>
          <c:val>
            <c:numRef>
              <c:f>Sheet1!$B$3:$G$3</c:f>
              <c:numCache>
                <c:formatCode>0</c:formatCode>
                <c:ptCount val="6"/>
                <c:pt idx="0" formatCode="0.0">
                  <c:v>-0.9</c:v>
                </c:pt>
                <c:pt idx="1">
                  <c:v>-3</c:v>
                </c:pt>
                <c:pt idx="2">
                  <c:v>19</c:v>
                </c:pt>
                <c:pt idx="3">
                  <c:v>-35</c:v>
                </c:pt>
                <c:pt idx="4">
                  <c:v>18</c:v>
                </c:pt>
                <c:pt idx="5">
                  <c:v>19</c:v>
                </c:pt>
              </c:numCache>
            </c:numRef>
          </c:val>
          <c:extLst>
            <c:ext xmlns:c16="http://schemas.microsoft.com/office/drawing/2014/chart" uri="{C3380CC4-5D6E-409C-BE32-E72D297353CC}">
              <c16:uniqueId val="{00000001-D9BF-4189-BE45-69B8471E5C4F}"/>
            </c:ext>
          </c:extLst>
        </c:ser>
        <c:ser>
          <c:idx val="2"/>
          <c:order val="2"/>
          <c:tx>
            <c:strRef>
              <c:f>Sheet1!$A$4</c:f>
              <c:strCache>
                <c:ptCount val="1"/>
                <c:pt idx="0">
                  <c:v>2023M02</c:v>
                </c:pt>
              </c:strCache>
            </c:strRef>
          </c:tx>
          <c:spPr>
            <a:solidFill>
              <a:schemeClr val="accent3"/>
            </a:solidFill>
            <a:ln>
              <a:noFill/>
            </a:ln>
            <a:effectLst/>
          </c:spPr>
          <c:invertIfNegative val="0"/>
          <c:cat>
            <c:strRef>
              <c:f>Sheet1!$B$1:$G$1</c:f>
              <c:strCache>
                <c:ptCount val="6"/>
                <c:pt idx="0">
                  <c:v>Kazalnik gospodarske klime</c:v>
                </c:pt>
                <c:pt idx="1">
                  <c:v>Kazalnik zaupanja v predelovalnih dejavnostih</c:v>
                </c:pt>
                <c:pt idx="2">
                  <c:v>Kazalnik zaupanja v trgovini na drobno</c:v>
                </c:pt>
                <c:pt idx="3">
                  <c:v>Kazalnik zaupanja potrošnikov</c:v>
                </c:pt>
                <c:pt idx="4">
                  <c:v>Kazalnik zaupanja v storitvenih dejavnostih</c:v>
                </c:pt>
                <c:pt idx="5">
                  <c:v>Kazalnik zaupanja v gradbeništvu</c:v>
                </c:pt>
              </c:strCache>
            </c:strRef>
          </c:cat>
          <c:val>
            <c:numRef>
              <c:f>Sheet1!$B$4:$G$4</c:f>
              <c:numCache>
                <c:formatCode>0</c:formatCode>
                <c:ptCount val="6"/>
                <c:pt idx="0" formatCode="0.0">
                  <c:v>-1.1000000000000001</c:v>
                </c:pt>
                <c:pt idx="1">
                  <c:v>-5</c:v>
                </c:pt>
                <c:pt idx="2">
                  <c:v>17</c:v>
                </c:pt>
                <c:pt idx="3">
                  <c:v>-34</c:v>
                </c:pt>
                <c:pt idx="4">
                  <c:v>20</c:v>
                </c:pt>
                <c:pt idx="5">
                  <c:v>18</c:v>
                </c:pt>
              </c:numCache>
            </c:numRef>
          </c:val>
          <c:extLst>
            <c:ext xmlns:c16="http://schemas.microsoft.com/office/drawing/2014/chart" uri="{C3380CC4-5D6E-409C-BE32-E72D297353CC}">
              <c16:uniqueId val="{00000002-D9BF-4189-BE45-69B8471E5C4F}"/>
            </c:ext>
          </c:extLst>
        </c:ser>
        <c:ser>
          <c:idx val="3"/>
          <c:order val="3"/>
          <c:tx>
            <c:strRef>
              <c:f>Sheet1!$A$5</c:f>
              <c:strCache>
                <c:ptCount val="1"/>
                <c:pt idx="0">
                  <c:v>2023M03</c:v>
                </c:pt>
              </c:strCache>
            </c:strRef>
          </c:tx>
          <c:spPr>
            <a:solidFill>
              <a:schemeClr val="accent1">
                <a:lumMod val="50000"/>
              </a:schemeClr>
            </a:solidFill>
            <a:ln>
              <a:noFill/>
            </a:ln>
            <a:effectLst/>
          </c:spPr>
          <c:invertIfNegative val="0"/>
          <c:cat>
            <c:strRef>
              <c:f>Sheet1!$B$1:$G$1</c:f>
              <c:strCache>
                <c:ptCount val="6"/>
                <c:pt idx="0">
                  <c:v>Kazalnik gospodarske klime</c:v>
                </c:pt>
                <c:pt idx="1">
                  <c:v>Kazalnik zaupanja v predelovalnih dejavnostih</c:v>
                </c:pt>
                <c:pt idx="2">
                  <c:v>Kazalnik zaupanja v trgovini na drobno</c:v>
                </c:pt>
                <c:pt idx="3">
                  <c:v>Kazalnik zaupanja potrošnikov</c:v>
                </c:pt>
                <c:pt idx="4">
                  <c:v>Kazalnik zaupanja v storitvenih dejavnostih</c:v>
                </c:pt>
                <c:pt idx="5">
                  <c:v>Kazalnik zaupanja v gradbeništvu</c:v>
                </c:pt>
              </c:strCache>
            </c:strRef>
          </c:cat>
          <c:val>
            <c:numRef>
              <c:f>Sheet1!$B$5:$G$5</c:f>
              <c:numCache>
                <c:formatCode>0</c:formatCode>
                <c:ptCount val="6"/>
                <c:pt idx="0" formatCode="0.0">
                  <c:v>-1.4</c:v>
                </c:pt>
                <c:pt idx="1">
                  <c:v>-6</c:v>
                </c:pt>
                <c:pt idx="2">
                  <c:v>6</c:v>
                </c:pt>
                <c:pt idx="3">
                  <c:v>-33</c:v>
                </c:pt>
                <c:pt idx="4">
                  <c:v>21</c:v>
                </c:pt>
                <c:pt idx="5">
                  <c:v>14</c:v>
                </c:pt>
              </c:numCache>
            </c:numRef>
          </c:val>
          <c:extLst>
            <c:ext xmlns:c16="http://schemas.microsoft.com/office/drawing/2014/chart" uri="{C3380CC4-5D6E-409C-BE32-E72D297353CC}">
              <c16:uniqueId val="{00000003-D9BF-4189-BE45-69B8471E5C4F}"/>
            </c:ext>
          </c:extLst>
        </c:ser>
        <c:dLbls>
          <c:showLegendKey val="0"/>
          <c:showVal val="0"/>
          <c:showCatName val="0"/>
          <c:showSerName val="0"/>
          <c:showPercent val="0"/>
          <c:showBubbleSize val="0"/>
        </c:dLbls>
        <c:gapWidth val="219"/>
        <c:axId val="401487104"/>
        <c:axId val="401480048"/>
      </c:barChart>
      <c:lineChart>
        <c:grouping val="standard"/>
        <c:varyColors val="0"/>
        <c:ser>
          <c:idx val="4"/>
          <c:order val="4"/>
          <c:tx>
            <c:strRef>
              <c:f>Sheet1!$A$6</c:f>
              <c:strCache>
                <c:ptCount val="1"/>
                <c:pt idx="0">
                  <c:v>povprečje 2005M01-2023M03</c:v>
                </c:pt>
              </c:strCache>
            </c:strRef>
          </c:tx>
          <c:spPr>
            <a:ln w="28575" cap="rnd">
              <a:noFill/>
              <a:round/>
            </a:ln>
            <a:effectLst/>
          </c:spPr>
          <c:marker>
            <c:symbol val="triangle"/>
            <c:size val="10"/>
            <c:spPr>
              <a:solidFill>
                <a:schemeClr val="tx1"/>
              </a:solidFill>
              <a:ln w="9525">
                <a:solidFill>
                  <a:schemeClr val="tx1"/>
                </a:solidFill>
              </a:ln>
              <a:effectLst/>
            </c:spPr>
          </c:marker>
          <c:cat>
            <c:strRef>
              <c:f>Sheet1!$B$1:$G$1</c:f>
              <c:strCache>
                <c:ptCount val="6"/>
                <c:pt idx="0">
                  <c:v>Kazalnik gospodarske klime</c:v>
                </c:pt>
                <c:pt idx="1">
                  <c:v>Kazalnik zaupanja v predelovalnih dejavnostih</c:v>
                </c:pt>
                <c:pt idx="2">
                  <c:v>Kazalnik zaupanja v trgovini na drobno</c:v>
                </c:pt>
                <c:pt idx="3">
                  <c:v>Kazalnik zaupanja potrošnikov</c:v>
                </c:pt>
                <c:pt idx="4">
                  <c:v>Kazalnik zaupanja v storitvenih dejavnostih</c:v>
                </c:pt>
                <c:pt idx="5">
                  <c:v>Kazalnik zaupanja v gradbeništvu</c:v>
                </c:pt>
              </c:strCache>
            </c:strRef>
          </c:cat>
          <c:val>
            <c:numRef>
              <c:f>Sheet1!$B$6:$G$6</c:f>
              <c:numCache>
                <c:formatCode>0.0</c:formatCode>
                <c:ptCount val="6"/>
                <c:pt idx="0">
                  <c:v>-0.88858447488584436</c:v>
                </c:pt>
                <c:pt idx="1">
                  <c:v>0.16894977168949771</c:v>
                </c:pt>
                <c:pt idx="2">
                  <c:v>11.904109589041095</c:v>
                </c:pt>
                <c:pt idx="3">
                  <c:v>-22.337899543378995</c:v>
                </c:pt>
                <c:pt idx="4">
                  <c:v>10.945205479452055</c:v>
                </c:pt>
                <c:pt idx="5">
                  <c:v>-7.6757990867579906</c:v>
                </c:pt>
              </c:numCache>
            </c:numRef>
          </c:val>
          <c:smooth val="0"/>
          <c:extLst>
            <c:ext xmlns:c16="http://schemas.microsoft.com/office/drawing/2014/chart" uri="{C3380CC4-5D6E-409C-BE32-E72D297353CC}">
              <c16:uniqueId val="{00000004-D9BF-4189-BE45-69B8471E5C4F}"/>
            </c:ext>
          </c:extLst>
        </c:ser>
        <c:dLbls>
          <c:showLegendKey val="0"/>
          <c:showVal val="0"/>
          <c:showCatName val="0"/>
          <c:showSerName val="0"/>
          <c:showPercent val="0"/>
          <c:showBubbleSize val="0"/>
        </c:dLbls>
        <c:marker val="1"/>
        <c:smooth val="0"/>
        <c:axId val="401487104"/>
        <c:axId val="401480048"/>
      </c:lineChart>
      <c:catAx>
        <c:axId val="40148710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crossAx val="401480048"/>
        <c:crosses val="autoZero"/>
        <c:auto val="1"/>
        <c:lblAlgn val="ctr"/>
        <c:lblOffset val="100"/>
        <c:noMultiLvlLbl val="0"/>
      </c:catAx>
      <c:valAx>
        <c:axId val="401480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sl-SI"/>
          </a:p>
        </c:txPr>
        <c:crossAx val="401487104"/>
        <c:crosses val="autoZero"/>
        <c:crossBetween val="between"/>
      </c:valAx>
      <c:spPr>
        <a:noFill/>
        <a:ln>
          <a:noFill/>
        </a:ln>
        <a:effectLst/>
      </c:spPr>
    </c:plotArea>
    <c:legend>
      <c:legendPos val="b"/>
      <c:layout>
        <c:manualLayout>
          <c:xMode val="edge"/>
          <c:yMode val="edge"/>
          <c:x val="3.5757509477981925E-2"/>
          <c:y val="0.90950389030067458"/>
          <c:w val="0.89643777166743066"/>
          <c:h val="9.0496096579891855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319E4368-F57E-4C53-BE18-46794105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3658</Words>
  <Characters>20853</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24463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Pernuš</dc:creator>
  <cp:lastModifiedBy>Erika Fratnik Brajdih</cp:lastModifiedBy>
  <cp:revision>2</cp:revision>
  <cp:lastPrinted>2023-04-19T06:28:00Z</cp:lastPrinted>
  <dcterms:created xsi:type="dcterms:W3CDTF">2023-04-19T14:31:00Z</dcterms:created>
  <dcterms:modified xsi:type="dcterms:W3CDTF">2023-04-19T14:31:00Z</dcterms:modified>
</cp:coreProperties>
</file>